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66242" w14:textId="77777777" w:rsidR="00DB7AAB" w:rsidRPr="007847AA" w:rsidRDefault="00DB7AAB" w:rsidP="008D64E2">
      <w:pPr>
        <w:jc w:val="center"/>
        <w:rPr>
          <w:rFonts w:cs="Arial"/>
          <w:b/>
          <w:sz w:val="48"/>
          <w:szCs w:val="48"/>
        </w:rPr>
      </w:pPr>
      <w:r w:rsidRPr="007847AA">
        <w:rPr>
          <w:rFonts w:cs="Arial"/>
          <w:b/>
          <w:sz w:val="48"/>
          <w:szCs w:val="48"/>
        </w:rPr>
        <w:t>SECTION C</w:t>
      </w:r>
      <w:r w:rsidR="000D3AB0" w:rsidRPr="007847AA">
        <w:rPr>
          <w:rFonts w:cs="Arial"/>
          <w:b/>
          <w:sz w:val="48"/>
          <w:szCs w:val="48"/>
        </w:rPr>
        <w:t xml:space="preserve"> </w:t>
      </w:r>
    </w:p>
    <w:p w14:paraId="50246D8B" w14:textId="77777777" w:rsidR="00DB7AAB" w:rsidRPr="007847AA" w:rsidRDefault="00DB7AAB" w:rsidP="008D64E2">
      <w:pPr>
        <w:jc w:val="center"/>
        <w:rPr>
          <w:rFonts w:cs="Arial"/>
          <w:b/>
          <w:sz w:val="52"/>
          <w:szCs w:val="52"/>
        </w:rPr>
      </w:pPr>
      <w:r w:rsidRPr="007847AA">
        <w:rPr>
          <w:rFonts w:cs="Arial"/>
          <w:b/>
          <w:sz w:val="52"/>
          <w:szCs w:val="52"/>
        </w:rPr>
        <w:t>HOUSING REHABILITATION</w:t>
      </w:r>
    </w:p>
    <w:p w14:paraId="208B5918" w14:textId="77777777" w:rsidR="00DB7AAB" w:rsidRPr="007847AA" w:rsidRDefault="00DB7AAB" w:rsidP="008D64E2">
      <w:pPr>
        <w:rPr>
          <w:rFonts w:cs="Arial"/>
          <w:b/>
        </w:rPr>
      </w:pPr>
    </w:p>
    <w:p w14:paraId="1CE5C144" w14:textId="77777777" w:rsidR="00DB7AAB" w:rsidRPr="007847AA" w:rsidRDefault="00DB7AAB" w:rsidP="008D64E2">
      <w:pPr>
        <w:jc w:val="center"/>
        <w:rPr>
          <w:rFonts w:cs="Arial"/>
          <w:sz w:val="28"/>
          <w:szCs w:val="28"/>
        </w:rPr>
      </w:pPr>
      <w:r w:rsidRPr="007847AA">
        <w:rPr>
          <w:rFonts w:cs="Arial"/>
          <w:sz w:val="28"/>
          <w:szCs w:val="28"/>
        </w:rPr>
        <w:t>TABLE OF CONTENTS</w:t>
      </w:r>
    </w:p>
    <w:p w14:paraId="3534157C" w14:textId="77777777" w:rsidR="00585284" w:rsidRPr="007847AA" w:rsidRDefault="00585284" w:rsidP="008D64E2">
      <w:pPr>
        <w:pStyle w:val="Header"/>
        <w:tabs>
          <w:tab w:val="clear" w:pos="4320"/>
          <w:tab w:val="clear" w:pos="8640"/>
          <w:tab w:val="left" w:pos="1620"/>
          <w:tab w:val="right" w:pos="9360"/>
        </w:tabs>
        <w:rPr>
          <w:rFonts w:cs="Arial"/>
        </w:rPr>
      </w:pPr>
    </w:p>
    <w:p w14:paraId="2A291056" w14:textId="77777777" w:rsidR="00DB7AAB" w:rsidRPr="007847AA" w:rsidRDefault="00DB7AAB" w:rsidP="008D64E2">
      <w:pPr>
        <w:pStyle w:val="Header"/>
        <w:tabs>
          <w:tab w:val="clear" w:pos="4320"/>
          <w:tab w:val="clear" w:pos="8640"/>
          <w:tab w:val="left" w:pos="1620"/>
          <w:tab w:val="right" w:pos="9360"/>
        </w:tabs>
        <w:jc w:val="right"/>
        <w:rPr>
          <w:rFonts w:cs="Arial"/>
        </w:rPr>
      </w:pPr>
      <w:r w:rsidRPr="007847AA">
        <w:rPr>
          <w:rFonts w:cs="Arial"/>
        </w:rPr>
        <w:t>Page</w:t>
      </w:r>
    </w:p>
    <w:p w14:paraId="10D47342" w14:textId="059DD9E2" w:rsidR="00BE69D8" w:rsidRPr="00BE69D8" w:rsidRDefault="006A09C9">
      <w:pPr>
        <w:pStyle w:val="TOC1"/>
        <w:rPr>
          <w:rFonts w:ascii="Arial" w:eastAsiaTheme="minorEastAsia" w:hAnsi="Arial" w:cs="Arial"/>
          <w:b w:val="0"/>
          <w:bCs w:val="0"/>
          <w:caps w:val="0"/>
          <w:noProof/>
          <w:kern w:val="2"/>
          <w:sz w:val="22"/>
          <w:szCs w:val="22"/>
          <w14:ligatures w14:val="standardContextual"/>
        </w:rPr>
      </w:pPr>
      <w:r w:rsidRPr="00BE69D8">
        <w:rPr>
          <w:rFonts w:ascii="Arial" w:hAnsi="Arial" w:cs="Arial"/>
          <w:sz w:val="22"/>
          <w:szCs w:val="22"/>
        </w:rPr>
        <w:fldChar w:fldCharType="begin"/>
      </w:r>
      <w:r w:rsidRPr="00BE69D8">
        <w:rPr>
          <w:rFonts w:ascii="Arial" w:hAnsi="Arial" w:cs="Arial"/>
          <w:sz w:val="22"/>
          <w:szCs w:val="22"/>
        </w:rPr>
        <w:instrText xml:space="preserve"> TOC \o "1-2" \h \z \u </w:instrText>
      </w:r>
      <w:r w:rsidRPr="00BE69D8">
        <w:rPr>
          <w:rFonts w:ascii="Arial" w:hAnsi="Arial" w:cs="Arial"/>
          <w:sz w:val="22"/>
          <w:szCs w:val="22"/>
        </w:rPr>
        <w:fldChar w:fldCharType="separate"/>
      </w:r>
      <w:hyperlink w:anchor="_Toc171794642" w:history="1">
        <w:r w:rsidR="00BE69D8" w:rsidRPr="00BE69D8">
          <w:rPr>
            <w:rStyle w:val="Hyperlink"/>
            <w:rFonts w:ascii="Arial" w:hAnsi="Arial" w:cs="Arial"/>
            <w:noProof/>
            <w:sz w:val="22"/>
            <w:szCs w:val="22"/>
          </w:rPr>
          <w:t>C.0 Introduction</w:t>
        </w:r>
        <w:r w:rsidR="00BE69D8" w:rsidRPr="00BE69D8">
          <w:rPr>
            <w:rFonts w:ascii="Arial" w:hAnsi="Arial" w:cs="Arial"/>
            <w:noProof/>
            <w:webHidden/>
            <w:sz w:val="22"/>
            <w:szCs w:val="22"/>
          </w:rPr>
          <w:tab/>
        </w:r>
        <w:r w:rsidR="00BE69D8" w:rsidRPr="00BE69D8">
          <w:rPr>
            <w:rFonts w:ascii="Arial" w:hAnsi="Arial" w:cs="Arial"/>
            <w:noProof/>
            <w:webHidden/>
            <w:sz w:val="22"/>
            <w:szCs w:val="22"/>
          </w:rPr>
          <w:fldChar w:fldCharType="begin"/>
        </w:r>
        <w:r w:rsidR="00BE69D8" w:rsidRPr="00BE69D8">
          <w:rPr>
            <w:rFonts w:ascii="Arial" w:hAnsi="Arial" w:cs="Arial"/>
            <w:noProof/>
            <w:webHidden/>
            <w:sz w:val="22"/>
            <w:szCs w:val="22"/>
          </w:rPr>
          <w:instrText xml:space="preserve"> PAGEREF _Toc171794642 \h </w:instrText>
        </w:r>
        <w:r w:rsidR="00BE69D8" w:rsidRPr="00BE69D8">
          <w:rPr>
            <w:rFonts w:ascii="Arial" w:hAnsi="Arial" w:cs="Arial"/>
            <w:noProof/>
            <w:webHidden/>
            <w:sz w:val="22"/>
            <w:szCs w:val="22"/>
          </w:rPr>
        </w:r>
        <w:r w:rsidR="00BE69D8" w:rsidRPr="00BE69D8">
          <w:rPr>
            <w:rFonts w:ascii="Arial" w:hAnsi="Arial" w:cs="Arial"/>
            <w:noProof/>
            <w:webHidden/>
            <w:sz w:val="22"/>
            <w:szCs w:val="22"/>
          </w:rPr>
          <w:fldChar w:fldCharType="separate"/>
        </w:r>
        <w:r w:rsidR="00BE69D8" w:rsidRPr="00BE69D8">
          <w:rPr>
            <w:rFonts w:ascii="Arial" w:hAnsi="Arial" w:cs="Arial"/>
            <w:noProof/>
            <w:webHidden/>
            <w:sz w:val="22"/>
            <w:szCs w:val="22"/>
          </w:rPr>
          <w:t>2</w:t>
        </w:r>
        <w:r w:rsidR="00BE69D8" w:rsidRPr="00BE69D8">
          <w:rPr>
            <w:rFonts w:ascii="Arial" w:hAnsi="Arial" w:cs="Arial"/>
            <w:noProof/>
            <w:webHidden/>
            <w:sz w:val="22"/>
            <w:szCs w:val="22"/>
          </w:rPr>
          <w:fldChar w:fldCharType="end"/>
        </w:r>
      </w:hyperlink>
    </w:p>
    <w:p w14:paraId="41567634" w14:textId="764983C8" w:rsidR="00BE69D8" w:rsidRPr="00BE69D8" w:rsidRDefault="00BE69D8">
      <w:pPr>
        <w:pStyle w:val="TOC1"/>
        <w:rPr>
          <w:rFonts w:ascii="Arial" w:eastAsiaTheme="minorEastAsia" w:hAnsi="Arial" w:cs="Arial"/>
          <w:b w:val="0"/>
          <w:bCs w:val="0"/>
          <w:caps w:val="0"/>
          <w:noProof/>
          <w:kern w:val="2"/>
          <w:sz w:val="22"/>
          <w:szCs w:val="22"/>
          <w14:ligatures w14:val="standardContextual"/>
        </w:rPr>
      </w:pPr>
      <w:hyperlink w:anchor="_Toc171794643" w:history="1">
        <w:r w:rsidRPr="00BE69D8">
          <w:rPr>
            <w:rStyle w:val="Hyperlink"/>
            <w:rFonts w:ascii="Arial" w:hAnsi="Arial" w:cs="Arial"/>
            <w:noProof/>
            <w:sz w:val="22"/>
            <w:szCs w:val="22"/>
          </w:rPr>
          <w:t>C.1 Housing Unit Rehabilitation</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_Toc171794643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2</w:t>
        </w:r>
        <w:r w:rsidRPr="00BE69D8">
          <w:rPr>
            <w:rFonts w:ascii="Arial" w:hAnsi="Arial" w:cs="Arial"/>
            <w:noProof/>
            <w:webHidden/>
            <w:sz w:val="22"/>
            <w:szCs w:val="22"/>
          </w:rPr>
          <w:fldChar w:fldCharType="end"/>
        </w:r>
      </w:hyperlink>
    </w:p>
    <w:p w14:paraId="2D0190D1" w14:textId="54AAB303" w:rsidR="00BE69D8" w:rsidRPr="00BE69D8" w:rsidRDefault="00BE69D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4644" w:history="1">
        <w:r w:rsidRPr="00BE69D8">
          <w:rPr>
            <w:rStyle w:val="Hyperlink"/>
            <w:rFonts w:ascii="Arial" w:hAnsi="Arial" w:cs="Arial"/>
            <w:noProof/>
            <w:sz w:val="22"/>
            <w:szCs w:val="22"/>
          </w:rPr>
          <w:t>C.1.1 Property Eligibility</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_Toc171794644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2</w:t>
        </w:r>
        <w:r w:rsidRPr="00BE69D8">
          <w:rPr>
            <w:rFonts w:ascii="Arial" w:hAnsi="Arial" w:cs="Arial"/>
            <w:noProof/>
            <w:webHidden/>
            <w:sz w:val="22"/>
            <w:szCs w:val="22"/>
          </w:rPr>
          <w:fldChar w:fldCharType="end"/>
        </w:r>
      </w:hyperlink>
    </w:p>
    <w:p w14:paraId="301D794B" w14:textId="044D9BE5" w:rsidR="00BE69D8" w:rsidRPr="00BE69D8" w:rsidRDefault="00BE69D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4645" w:history="1">
        <w:r w:rsidRPr="00BE69D8">
          <w:rPr>
            <w:rStyle w:val="Hyperlink"/>
            <w:rFonts w:ascii="Arial" w:hAnsi="Arial" w:cs="Arial"/>
            <w:noProof/>
            <w:sz w:val="22"/>
            <w:szCs w:val="22"/>
          </w:rPr>
          <w:t>C.1.2 Eligible Activities</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_Toc171794645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3</w:t>
        </w:r>
        <w:r w:rsidRPr="00BE69D8">
          <w:rPr>
            <w:rFonts w:ascii="Arial" w:hAnsi="Arial" w:cs="Arial"/>
            <w:noProof/>
            <w:webHidden/>
            <w:sz w:val="22"/>
            <w:szCs w:val="22"/>
          </w:rPr>
          <w:fldChar w:fldCharType="end"/>
        </w:r>
      </w:hyperlink>
    </w:p>
    <w:p w14:paraId="75C30424" w14:textId="5213E391" w:rsidR="00BE69D8" w:rsidRPr="00BE69D8" w:rsidRDefault="00BE69D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4646" w:history="1">
        <w:r w:rsidRPr="00BE69D8">
          <w:rPr>
            <w:rStyle w:val="Hyperlink"/>
            <w:rFonts w:ascii="Arial" w:hAnsi="Arial" w:cs="Arial"/>
            <w:noProof/>
            <w:sz w:val="22"/>
            <w:szCs w:val="22"/>
          </w:rPr>
          <w:t>C.1.3 Ineligible Activities</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_Toc171794646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4</w:t>
        </w:r>
        <w:r w:rsidRPr="00BE69D8">
          <w:rPr>
            <w:rFonts w:ascii="Arial" w:hAnsi="Arial" w:cs="Arial"/>
            <w:noProof/>
            <w:webHidden/>
            <w:sz w:val="22"/>
            <w:szCs w:val="22"/>
          </w:rPr>
          <w:fldChar w:fldCharType="end"/>
        </w:r>
      </w:hyperlink>
    </w:p>
    <w:p w14:paraId="5582C75F" w14:textId="52547EAA" w:rsidR="00BE69D8" w:rsidRPr="00BE69D8" w:rsidRDefault="00BE69D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4647" w:history="1">
        <w:r w:rsidRPr="00BE69D8">
          <w:rPr>
            <w:rStyle w:val="Hyperlink"/>
            <w:rFonts w:ascii="Arial" w:hAnsi="Arial" w:cs="Arial"/>
            <w:noProof/>
            <w:sz w:val="22"/>
            <w:szCs w:val="22"/>
          </w:rPr>
          <w:t>C.1.4 Forgivable Loans</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_Toc171794647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4</w:t>
        </w:r>
        <w:r w:rsidRPr="00BE69D8">
          <w:rPr>
            <w:rFonts w:ascii="Arial" w:hAnsi="Arial" w:cs="Arial"/>
            <w:noProof/>
            <w:webHidden/>
            <w:sz w:val="22"/>
            <w:szCs w:val="22"/>
          </w:rPr>
          <w:fldChar w:fldCharType="end"/>
        </w:r>
      </w:hyperlink>
    </w:p>
    <w:p w14:paraId="15276FBD" w14:textId="0E062DA8" w:rsidR="00BE69D8" w:rsidRPr="00BE69D8" w:rsidRDefault="00BE69D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4648" w:history="1">
        <w:r w:rsidRPr="00BE69D8">
          <w:rPr>
            <w:rStyle w:val="Hyperlink"/>
            <w:rFonts w:ascii="Arial" w:hAnsi="Arial" w:cs="Arial"/>
            <w:noProof/>
            <w:sz w:val="22"/>
            <w:szCs w:val="22"/>
          </w:rPr>
          <w:t>C.1.5 Costs</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_Toc171794648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4</w:t>
        </w:r>
        <w:r w:rsidRPr="00BE69D8">
          <w:rPr>
            <w:rFonts w:ascii="Arial" w:hAnsi="Arial" w:cs="Arial"/>
            <w:noProof/>
            <w:webHidden/>
            <w:sz w:val="22"/>
            <w:szCs w:val="22"/>
          </w:rPr>
          <w:fldChar w:fldCharType="end"/>
        </w:r>
      </w:hyperlink>
    </w:p>
    <w:p w14:paraId="24F6728A" w14:textId="1152FE30" w:rsidR="00BE69D8" w:rsidRPr="00BE69D8" w:rsidRDefault="00BE69D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4649" w:history="1">
        <w:r w:rsidRPr="00BE69D8">
          <w:rPr>
            <w:rStyle w:val="Hyperlink"/>
            <w:rFonts w:ascii="Arial" w:hAnsi="Arial" w:cs="Arial"/>
            <w:noProof/>
            <w:sz w:val="22"/>
            <w:szCs w:val="22"/>
          </w:rPr>
          <w:t>C.1.6 Required Improvements</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_Toc171794649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5</w:t>
        </w:r>
        <w:r w:rsidRPr="00BE69D8">
          <w:rPr>
            <w:rFonts w:ascii="Arial" w:hAnsi="Arial" w:cs="Arial"/>
            <w:noProof/>
            <w:webHidden/>
            <w:sz w:val="22"/>
            <w:szCs w:val="22"/>
          </w:rPr>
          <w:fldChar w:fldCharType="end"/>
        </w:r>
      </w:hyperlink>
    </w:p>
    <w:p w14:paraId="1D94D98C" w14:textId="7650ACBC" w:rsidR="00BE69D8" w:rsidRPr="00BE69D8" w:rsidRDefault="00BE69D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4650" w:history="1">
        <w:r w:rsidRPr="00BE69D8">
          <w:rPr>
            <w:rStyle w:val="Hyperlink"/>
            <w:rFonts w:ascii="Arial" w:hAnsi="Arial" w:cs="Arial"/>
            <w:noProof/>
            <w:sz w:val="22"/>
            <w:szCs w:val="22"/>
          </w:rPr>
          <w:t>C.1.7 Rehabilitation vs. Reconstruction</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_Toc171794650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5</w:t>
        </w:r>
        <w:r w:rsidRPr="00BE69D8">
          <w:rPr>
            <w:rFonts w:ascii="Arial" w:hAnsi="Arial" w:cs="Arial"/>
            <w:noProof/>
            <w:webHidden/>
            <w:sz w:val="22"/>
            <w:szCs w:val="22"/>
          </w:rPr>
          <w:fldChar w:fldCharType="end"/>
        </w:r>
      </w:hyperlink>
    </w:p>
    <w:p w14:paraId="726A9949" w14:textId="646F40F3" w:rsidR="00BE69D8" w:rsidRPr="00BE69D8" w:rsidRDefault="00BE69D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4651" w:history="1">
        <w:r w:rsidRPr="00BE69D8">
          <w:rPr>
            <w:rStyle w:val="Hyperlink"/>
            <w:rFonts w:ascii="Arial" w:hAnsi="Arial" w:cs="Arial"/>
            <w:noProof/>
            <w:sz w:val="22"/>
            <w:szCs w:val="22"/>
          </w:rPr>
          <w:t>C.1.8 Age of Property/Lead–based Paint</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_Toc171794651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6</w:t>
        </w:r>
        <w:r w:rsidRPr="00BE69D8">
          <w:rPr>
            <w:rFonts w:ascii="Arial" w:hAnsi="Arial" w:cs="Arial"/>
            <w:noProof/>
            <w:webHidden/>
            <w:sz w:val="22"/>
            <w:szCs w:val="22"/>
          </w:rPr>
          <w:fldChar w:fldCharType="end"/>
        </w:r>
      </w:hyperlink>
    </w:p>
    <w:p w14:paraId="7E878605" w14:textId="07699F48" w:rsidR="00BE69D8" w:rsidRPr="00BE69D8" w:rsidRDefault="00BE69D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4652" w:history="1">
        <w:r w:rsidRPr="00BE69D8">
          <w:rPr>
            <w:rStyle w:val="Hyperlink"/>
            <w:rFonts w:ascii="Arial" w:hAnsi="Arial" w:cs="Arial"/>
            <w:noProof/>
            <w:sz w:val="22"/>
            <w:szCs w:val="22"/>
          </w:rPr>
          <w:t>C 1.9 Work Writeups</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_Toc171794652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8</w:t>
        </w:r>
        <w:r w:rsidRPr="00BE69D8">
          <w:rPr>
            <w:rFonts w:ascii="Arial" w:hAnsi="Arial" w:cs="Arial"/>
            <w:noProof/>
            <w:webHidden/>
            <w:sz w:val="22"/>
            <w:szCs w:val="22"/>
          </w:rPr>
          <w:fldChar w:fldCharType="end"/>
        </w:r>
      </w:hyperlink>
    </w:p>
    <w:p w14:paraId="302D5B70" w14:textId="6DFDF54F" w:rsidR="00BE69D8" w:rsidRPr="00BE69D8" w:rsidRDefault="00BE69D8">
      <w:pPr>
        <w:pStyle w:val="TOC1"/>
        <w:rPr>
          <w:rFonts w:ascii="Arial" w:eastAsiaTheme="minorEastAsia" w:hAnsi="Arial" w:cs="Arial"/>
          <w:b w:val="0"/>
          <w:bCs w:val="0"/>
          <w:caps w:val="0"/>
          <w:noProof/>
          <w:kern w:val="2"/>
          <w:sz w:val="22"/>
          <w:szCs w:val="22"/>
          <w14:ligatures w14:val="standardContextual"/>
        </w:rPr>
      </w:pPr>
      <w:hyperlink w:anchor="_Toc171794653" w:history="1">
        <w:r w:rsidRPr="00BE69D8">
          <w:rPr>
            <w:rStyle w:val="Hyperlink"/>
            <w:rFonts w:ascii="Arial" w:hAnsi="Arial" w:cs="Arial"/>
            <w:noProof/>
            <w:sz w:val="22"/>
            <w:szCs w:val="22"/>
          </w:rPr>
          <w:t>C.2 On–Site Sewer Facility (OSSF) Assistance</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_Toc171794653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8</w:t>
        </w:r>
        <w:r w:rsidRPr="00BE69D8">
          <w:rPr>
            <w:rFonts w:ascii="Arial" w:hAnsi="Arial" w:cs="Arial"/>
            <w:noProof/>
            <w:webHidden/>
            <w:sz w:val="22"/>
            <w:szCs w:val="22"/>
          </w:rPr>
          <w:fldChar w:fldCharType="end"/>
        </w:r>
      </w:hyperlink>
    </w:p>
    <w:p w14:paraId="5719A7A3" w14:textId="7A900ADF" w:rsidR="00BE69D8" w:rsidRPr="00BE69D8" w:rsidRDefault="00BE69D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4654" w:history="1">
        <w:r w:rsidRPr="00BE69D8">
          <w:rPr>
            <w:rStyle w:val="Hyperlink"/>
            <w:rFonts w:ascii="Arial" w:hAnsi="Arial" w:cs="Arial"/>
            <w:noProof/>
            <w:sz w:val="22"/>
            <w:szCs w:val="22"/>
          </w:rPr>
          <w:t>C.2.1 Costs</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_Toc171794654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9</w:t>
        </w:r>
        <w:r w:rsidRPr="00BE69D8">
          <w:rPr>
            <w:rFonts w:ascii="Arial" w:hAnsi="Arial" w:cs="Arial"/>
            <w:noProof/>
            <w:webHidden/>
            <w:sz w:val="22"/>
            <w:szCs w:val="22"/>
          </w:rPr>
          <w:fldChar w:fldCharType="end"/>
        </w:r>
      </w:hyperlink>
    </w:p>
    <w:p w14:paraId="0E40EACA" w14:textId="093CCC14" w:rsidR="00BE69D8" w:rsidRPr="00BE69D8" w:rsidRDefault="00BE69D8">
      <w:pPr>
        <w:pStyle w:val="TOC1"/>
        <w:rPr>
          <w:rFonts w:ascii="Arial" w:eastAsiaTheme="minorEastAsia" w:hAnsi="Arial" w:cs="Arial"/>
          <w:b w:val="0"/>
          <w:bCs w:val="0"/>
          <w:caps w:val="0"/>
          <w:noProof/>
          <w:kern w:val="2"/>
          <w:sz w:val="22"/>
          <w:szCs w:val="22"/>
          <w14:ligatures w14:val="standardContextual"/>
        </w:rPr>
      </w:pPr>
      <w:hyperlink w:anchor="_Toc171794655" w:history="1">
        <w:r w:rsidRPr="00BE69D8">
          <w:rPr>
            <w:rStyle w:val="Hyperlink"/>
            <w:rFonts w:ascii="Arial" w:hAnsi="Arial" w:cs="Arial"/>
            <w:noProof/>
            <w:sz w:val="22"/>
            <w:szCs w:val="22"/>
          </w:rPr>
          <w:t>C.3 First–Time (Scattered) Yard line Assistance</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_Toc171794655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9</w:t>
        </w:r>
        <w:r w:rsidRPr="00BE69D8">
          <w:rPr>
            <w:rFonts w:ascii="Arial" w:hAnsi="Arial" w:cs="Arial"/>
            <w:noProof/>
            <w:webHidden/>
            <w:sz w:val="22"/>
            <w:szCs w:val="22"/>
          </w:rPr>
          <w:fldChar w:fldCharType="end"/>
        </w:r>
      </w:hyperlink>
    </w:p>
    <w:p w14:paraId="6B7C014D" w14:textId="4645924E" w:rsidR="00BE69D8" w:rsidRPr="00BE69D8" w:rsidRDefault="00BE69D8">
      <w:pPr>
        <w:pStyle w:val="TOC1"/>
        <w:rPr>
          <w:rFonts w:ascii="Arial" w:eastAsiaTheme="minorEastAsia" w:hAnsi="Arial" w:cs="Arial"/>
          <w:b w:val="0"/>
          <w:bCs w:val="0"/>
          <w:caps w:val="0"/>
          <w:noProof/>
          <w:kern w:val="2"/>
          <w:sz w:val="22"/>
          <w:szCs w:val="22"/>
          <w14:ligatures w14:val="standardContextual"/>
        </w:rPr>
      </w:pPr>
      <w:hyperlink w:anchor="_Toc171794656" w:history="1">
        <w:r w:rsidRPr="00BE69D8">
          <w:rPr>
            <w:rStyle w:val="Hyperlink"/>
            <w:rFonts w:ascii="Arial" w:hAnsi="Arial" w:cs="Arial"/>
            <w:noProof/>
            <w:sz w:val="22"/>
            <w:szCs w:val="22"/>
          </w:rPr>
          <w:t>C.4 Steps in Housing Rehabilitation Projects</w:t>
        </w:r>
        <w:r w:rsidRPr="00BE69D8">
          <w:rPr>
            <w:rFonts w:ascii="Arial" w:hAnsi="Arial" w:cs="Arial"/>
            <w:noProof/>
            <w:webHidden/>
            <w:sz w:val="22"/>
            <w:szCs w:val="22"/>
          </w:rPr>
          <w:tab/>
        </w:r>
        <w:r w:rsidRPr="00BE69D8">
          <w:rPr>
            <w:rFonts w:ascii="Arial" w:hAnsi="Arial" w:cs="Arial"/>
            <w:noProof/>
            <w:webHidden/>
            <w:sz w:val="22"/>
            <w:szCs w:val="22"/>
          </w:rPr>
          <w:fldChar w:fldCharType="begin"/>
        </w:r>
        <w:r w:rsidRPr="00BE69D8">
          <w:rPr>
            <w:rFonts w:ascii="Arial" w:hAnsi="Arial" w:cs="Arial"/>
            <w:noProof/>
            <w:webHidden/>
            <w:sz w:val="22"/>
            <w:szCs w:val="22"/>
          </w:rPr>
          <w:instrText xml:space="preserve"> PAGEREF _Toc171794656 \h </w:instrText>
        </w:r>
        <w:r w:rsidRPr="00BE69D8">
          <w:rPr>
            <w:rFonts w:ascii="Arial" w:hAnsi="Arial" w:cs="Arial"/>
            <w:noProof/>
            <w:webHidden/>
            <w:sz w:val="22"/>
            <w:szCs w:val="22"/>
          </w:rPr>
        </w:r>
        <w:r w:rsidRPr="00BE69D8">
          <w:rPr>
            <w:rFonts w:ascii="Arial" w:hAnsi="Arial" w:cs="Arial"/>
            <w:noProof/>
            <w:webHidden/>
            <w:sz w:val="22"/>
            <w:szCs w:val="22"/>
          </w:rPr>
          <w:fldChar w:fldCharType="separate"/>
        </w:r>
        <w:r w:rsidRPr="00BE69D8">
          <w:rPr>
            <w:rFonts w:ascii="Arial" w:hAnsi="Arial" w:cs="Arial"/>
            <w:noProof/>
            <w:webHidden/>
            <w:sz w:val="22"/>
            <w:szCs w:val="22"/>
          </w:rPr>
          <w:t>10</w:t>
        </w:r>
        <w:r w:rsidRPr="00BE69D8">
          <w:rPr>
            <w:rFonts w:ascii="Arial" w:hAnsi="Arial" w:cs="Arial"/>
            <w:noProof/>
            <w:webHidden/>
            <w:sz w:val="22"/>
            <w:szCs w:val="22"/>
          </w:rPr>
          <w:fldChar w:fldCharType="end"/>
        </w:r>
      </w:hyperlink>
    </w:p>
    <w:p w14:paraId="577147EE" w14:textId="0F4AD07A" w:rsidR="00585284" w:rsidRPr="007847AA" w:rsidRDefault="006A09C9" w:rsidP="00AC2C3E">
      <w:pPr>
        <w:pStyle w:val="TOC"/>
      </w:pPr>
      <w:r w:rsidRPr="00BE69D8">
        <w:rPr>
          <w:rFonts w:ascii="Arial" w:hAnsi="Arial"/>
          <w:sz w:val="22"/>
          <w:szCs w:val="22"/>
        </w:rPr>
        <w:fldChar w:fldCharType="end"/>
      </w:r>
    </w:p>
    <w:p w14:paraId="2FE16747" w14:textId="77777777" w:rsidR="00585284" w:rsidRPr="007847AA" w:rsidRDefault="00585284" w:rsidP="008D64E2"/>
    <w:p w14:paraId="7543E542" w14:textId="77777777" w:rsidR="00DB7AAB" w:rsidRPr="007847AA" w:rsidRDefault="00DB7AAB" w:rsidP="008D64E2">
      <w:r w:rsidRPr="007847AA">
        <w:br w:type="page"/>
      </w:r>
    </w:p>
    <w:p w14:paraId="48BF0658" w14:textId="77777777" w:rsidR="00585284" w:rsidRPr="007847AA" w:rsidRDefault="00585284" w:rsidP="008D64E2">
      <w:pPr>
        <w:jc w:val="center"/>
        <w:rPr>
          <w:rFonts w:cs="Arial"/>
          <w:b/>
          <w:sz w:val="48"/>
          <w:szCs w:val="48"/>
        </w:rPr>
      </w:pPr>
      <w:r w:rsidRPr="007847AA">
        <w:rPr>
          <w:rFonts w:cs="Arial"/>
          <w:b/>
          <w:sz w:val="48"/>
          <w:szCs w:val="48"/>
        </w:rPr>
        <w:lastRenderedPageBreak/>
        <w:t>SECTION C</w:t>
      </w:r>
    </w:p>
    <w:p w14:paraId="63633110" w14:textId="77777777" w:rsidR="00DB7AAB" w:rsidRPr="007847AA" w:rsidRDefault="00DB7AAB" w:rsidP="008D64E2">
      <w:pPr>
        <w:jc w:val="center"/>
        <w:rPr>
          <w:rFonts w:cs="Arial"/>
          <w:b/>
          <w:sz w:val="48"/>
          <w:szCs w:val="48"/>
        </w:rPr>
      </w:pPr>
      <w:r w:rsidRPr="007847AA">
        <w:rPr>
          <w:rFonts w:cs="Arial"/>
          <w:b/>
          <w:sz w:val="48"/>
          <w:szCs w:val="48"/>
        </w:rPr>
        <w:t>HOUSING REHABILITATION</w:t>
      </w:r>
    </w:p>
    <w:p w14:paraId="6F5E1D82" w14:textId="77777777" w:rsidR="00DB7AAB" w:rsidRPr="007847AA" w:rsidRDefault="00DB7AAB" w:rsidP="008D64E2">
      <w:pPr>
        <w:rPr>
          <w:rFonts w:cs="Arial"/>
          <w:szCs w:val="22"/>
        </w:rPr>
      </w:pPr>
    </w:p>
    <w:p w14:paraId="557FD878" w14:textId="77777777" w:rsidR="00DB7AAB" w:rsidRPr="007847AA" w:rsidRDefault="00DB7AAB" w:rsidP="008D64E2">
      <w:pPr>
        <w:pStyle w:val="5Arial20BOLD"/>
      </w:pPr>
      <w:bookmarkStart w:id="0" w:name="_Toc453925534"/>
      <w:bookmarkStart w:id="1" w:name="_Toc453926061"/>
      <w:bookmarkStart w:id="2" w:name="_Toc97767044"/>
      <w:bookmarkStart w:id="3" w:name="_Toc171794642"/>
      <w:r w:rsidRPr="007847AA">
        <w:t>C.0 Introduction</w:t>
      </w:r>
      <w:bookmarkEnd w:id="0"/>
      <w:bookmarkEnd w:id="1"/>
      <w:bookmarkEnd w:id="2"/>
      <w:bookmarkEnd w:id="3"/>
    </w:p>
    <w:p w14:paraId="24A0505B" w14:textId="77777777" w:rsidR="00DB7AAB" w:rsidRPr="007847AA" w:rsidRDefault="00DB7AAB" w:rsidP="008D64E2">
      <w:pPr>
        <w:autoSpaceDE w:val="0"/>
        <w:autoSpaceDN w:val="0"/>
        <w:adjustRightInd w:val="0"/>
        <w:jc w:val="both"/>
        <w:rPr>
          <w:rFonts w:cs="Arial"/>
          <w:szCs w:val="22"/>
        </w:rPr>
      </w:pPr>
    </w:p>
    <w:p w14:paraId="353787F4" w14:textId="070861F9" w:rsidR="000809AC" w:rsidRPr="007847AA" w:rsidRDefault="00DB7AAB" w:rsidP="008D64E2">
      <w:pPr>
        <w:pStyle w:val="Default"/>
        <w:jc w:val="both"/>
        <w:rPr>
          <w:color w:val="auto"/>
          <w:sz w:val="22"/>
          <w:szCs w:val="22"/>
        </w:rPr>
      </w:pPr>
      <w:r w:rsidRPr="007847AA">
        <w:rPr>
          <w:color w:val="auto"/>
          <w:sz w:val="22"/>
          <w:szCs w:val="22"/>
        </w:rPr>
        <w:t xml:space="preserve">The </w:t>
      </w:r>
      <w:r w:rsidR="00BB63EB" w:rsidRPr="007847AA">
        <w:rPr>
          <w:color w:val="auto"/>
          <w:sz w:val="22"/>
          <w:szCs w:val="22"/>
        </w:rPr>
        <w:t xml:space="preserve">Texas </w:t>
      </w:r>
      <w:r w:rsidRPr="007847AA">
        <w:rPr>
          <w:color w:val="auto"/>
          <w:sz w:val="22"/>
          <w:szCs w:val="22"/>
        </w:rPr>
        <w:t xml:space="preserve">Department of Agriculture (TDA) funds eligible housing activities through the Texas Community Development Block Grant Program (TxCDBG). The program is intended to solve certain local housing problems. </w:t>
      </w:r>
    </w:p>
    <w:p w14:paraId="2E676DC3" w14:textId="77777777" w:rsidR="00DB7AAB" w:rsidRPr="007847AA" w:rsidRDefault="00DB7AAB" w:rsidP="008D64E2">
      <w:pPr>
        <w:pStyle w:val="Default"/>
        <w:rPr>
          <w:color w:val="auto"/>
          <w:sz w:val="23"/>
          <w:szCs w:val="23"/>
        </w:rPr>
      </w:pPr>
    </w:p>
    <w:p w14:paraId="50EAAEAD" w14:textId="5836ED0F" w:rsidR="000809AC" w:rsidRPr="007847AA" w:rsidRDefault="008B0A36" w:rsidP="008D64E2">
      <w:pPr>
        <w:pStyle w:val="1Arial11BODY"/>
        <w:spacing w:line="240" w:lineRule="auto"/>
      </w:pPr>
      <w:r w:rsidRPr="007847AA">
        <w:rPr>
          <w:b/>
          <w:bCs/>
        </w:rPr>
        <w:t>Types of Housing Rehabilitation</w:t>
      </w:r>
      <w:r w:rsidR="004E4444" w:rsidRPr="007847AA">
        <w:rPr>
          <w:b/>
          <w:bCs/>
        </w:rPr>
        <w:t>:</w:t>
      </w:r>
    </w:p>
    <w:p w14:paraId="563BFEB5" w14:textId="77777777" w:rsidR="00385396" w:rsidRPr="007847AA" w:rsidRDefault="000809AC" w:rsidP="008D64E2">
      <w:pPr>
        <w:pStyle w:val="3Bulletedlist"/>
        <w:spacing w:after="0" w:line="240" w:lineRule="auto"/>
        <w:ind w:left="720"/>
        <w:jc w:val="both"/>
      </w:pPr>
      <w:r w:rsidRPr="007847AA">
        <w:rPr>
          <w:b/>
          <w:bCs/>
        </w:rPr>
        <w:t xml:space="preserve">Housing Unit </w:t>
      </w:r>
      <w:r w:rsidR="003E600E" w:rsidRPr="007847AA">
        <w:rPr>
          <w:b/>
          <w:bCs/>
        </w:rPr>
        <w:t>R</w:t>
      </w:r>
      <w:r w:rsidRPr="007847AA">
        <w:rPr>
          <w:b/>
          <w:bCs/>
        </w:rPr>
        <w:t>ehabilitation</w:t>
      </w:r>
      <w:r w:rsidRPr="007847AA">
        <w:t xml:space="preserve"> generally refers to the improvement of a property to a decent, safe and sanitary condition.</w:t>
      </w:r>
      <w:r w:rsidR="00385396" w:rsidRPr="007847AA">
        <w:t xml:space="preserve"> </w:t>
      </w:r>
      <w:r w:rsidRPr="007847AA">
        <w:t xml:space="preserve">Rehabilitation may include repairs/replacement of interior items such as plumbing, electrical, cabinets, framing, drywall, insulation, HVAC, flooring, subfloor, lighting fixtures, ceiling fans, bathroom shower, toilets, and kitchen appliances. In addition, it also refers to the exterior repairs/replacement of a housing unit structure such as siding, soffit, trim, doors, windows, </w:t>
      </w:r>
      <w:r w:rsidR="00385396" w:rsidRPr="007847AA">
        <w:t xml:space="preserve">and </w:t>
      </w:r>
      <w:r w:rsidRPr="007847AA">
        <w:t xml:space="preserve">roofing.  </w:t>
      </w:r>
    </w:p>
    <w:p w14:paraId="56A75A1E" w14:textId="51F0DDC4" w:rsidR="00385396" w:rsidRPr="007847AA" w:rsidRDefault="000809AC" w:rsidP="008D64E2">
      <w:pPr>
        <w:pStyle w:val="3Bulletedlist"/>
        <w:spacing w:after="0" w:line="240" w:lineRule="auto"/>
        <w:ind w:left="720"/>
        <w:jc w:val="both"/>
      </w:pPr>
      <w:r w:rsidRPr="007847AA">
        <w:rPr>
          <w:b/>
          <w:bCs/>
        </w:rPr>
        <w:t>On</w:t>
      </w:r>
      <w:r w:rsidR="00506BA4" w:rsidRPr="007847AA">
        <w:t>–</w:t>
      </w:r>
      <w:r w:rsidRPr="007847AA">
        <w:rPr>
          <w:b/>
          <w:bCs/>
        </w:rPr>
        <w:t>Site Sewer Facilities (OSSF)</w:t>
      </w:r>
      <w:r w:rsidRPr="007847AA">
        <w:t xml:space="preserve"> refers to first-time on-site sewage facilities or replacement of on-site sewage facilities.</w:t>
      </w:r>
    </w:p>
    <w:p w14:paraId="6D390E1B" w14:textId="065D80E5" w:rsidR="008B0A36" w:rsidRPr="007847AA" w:rsidRDefault="000809AC" w:rsidP="008D64E2">
      <w:pPr>
        <w:pStyle w:val="3Bulletedlist"/>
        <w:spacing w:after="0" w:line="240" w:lineRule="auto"/>
        <w:ind w:left="720"/>
        <w:jc w:val="both"/>
      </w:pPr>
      <w:r w:rsidRPr="007847AA">
        <w:rPr>
          <w:b/>
          <w:bCs/>
        </w:rPr>
        <w:t>First</w:t>
      </w:r>
      <w:r w:rsidR="00506BA4" w:rsidRPr="007847AA">
        <w:t>–</w:t>
      </w:r>
      <w:r w:rsidRPr="007847AA">
        <w:rPr>
          <w:b/>
          <w:bCs/>
        </w:rPr>
        <w:t xml:space="preserve">Time </w:t>
      </w:r>
      <w:commentRangeStart w:id="4"/>
      <w:r w:rsidR="00B44D22" w:rsidRPr="007847AA">
        <w:rPr>
          <w:b/>
          <w:bCs/>
        </w:rPr>
        <w:t>Yard line</w:t>
      </w:r>
      <w:r w:rsidRPr="007847AA">
        <w:rPr>
          <w:b/>
          <w:bCs/>
        </w:rPr>
        <w:t>s</w:t>
      </w:r>
      <w:r w:rsidRPr="007847AA">
        <w:t xml:space="preserve"> </w:t>
      </w:r>
      <w:commentRangeEnd w:id="4"/>
      <w:r w:rsidR="00506BA4" w:rsidRPr="007847AA">
        <w:rPr>
          <w:rStyle w:val="CommentReference"/>
          <w:rFonts w:cs="Times New Roman"/>
        </w:rPr>
        <w:commentReference w:id="4"/>
      </w:r>
      <w:r w:rsidRPr="007847AA">
        <w:t>refers to scattered yard</w:t>
      </w:r>
      <w:r w:rsidR="007847AA" w:rsidRPr="007847AA">
        <w:t xml:space="preserve"> </w:t>
      </w:r>
      <w:r w:rsidRPr="007847AA">
        <w:t xml:space="preserve">line connections </w:t>
      </w:r>
      <w:r w:rsidRPr="007847AA">
        <w:rPr>
          <w:u w:val="single"/>
        </w:rPr>
        <w:t>not</w:t>
      </w:r>
      <w:r w:rsidRPr="007847AA">
        <w:t xml:space="preserve"> associated with the installation of a main trunk line.</w:t>
      </w:r>
    </w:p>
    <w:p w14:paraId="61BD9876" w14:textId="77777777" w:rsidR="008D64E2" w:rsidRPr="007847AA" w:rsidRDefault="008D64E2" w:rsidP="008D64E2">
      <w:pPr>
        <w:pStyle w:val="1Arial11BODY"/>
        <w:spacing w:line="240" w:lineRule="auto"/>
      </w:pPr>
    </w:p>
    <w:p w14:paraId="52E21249" w14:textId="4F6145BF" w:rsidR="00DB7AAB" w:rsidRPr="007847AA" w:rsidRDefault="00DC393F" w:rsidP="008D64E2">
      <w:pPr>
        <w:pStyle w:val="1Arial11BODY"/>
        <w:spacing w:line="240" w:lineRule="auto"/>
      </w:pPr>
      <w:r w:rsidRPr="007847AA">
        <w:t xml:space="preserve">The process for selecting households to benefit from </w:t>
      </w:r>
      <w:r w:rsidR="008B0A36" w:rsidRPr="007847AA">
        <w:t>housing rehabilitation</w:t>
      </w:r>
      <w:r w:rsidRPr="007847AA">
        <w:t xml:space="preserve"> assistance, and then carrying out the project, must be clear and available to potential applicants.</w:t>
      </w:r>
      <w:r w:rsidR="00385396" w:rsidRPr="007847AA">
        <w:t xml:space="preserve"> </w:t>
      </w:r>
      <w:r w:rsidR="00DB7AAB" w:rsidRPr="007847AA">
        <w:t>The Grant Recipient must develop Housing Rehabilitation Guidelines and have them approved by TDA during the application process and prior to receiving a TxCDBG grant under this program.</w:t>
      </w:r>
      <w:r w:rsidR="00385396" w:rsidRPr="007847AA">
        <w:t xml:space="preserve"> </w:t>
      </w:r>
      <w:r w:rsidR="00DB7AAB" w:rsidRPr="007847AA">
        <w:t xml:space="preserve">The Grant Recipient must ensure that original objectives are met, that each eligible beneficiary has received quality rehabilitation work, and that the community has benefited from the program.  </w:t>
      </w:r>
    </w:p>
    <w:p w14:paraId="45E4637E" w14:textId="77777777" w:rsidR="000809AC" w:rsidRPr="007847AA" w:rsidRDefault="000809AC" w:rsidP="008D64E2">
      <w:pPr>
        <w:tabs>
          <w:tab w:val="left" w:pos="1980"/>
        </w:tabs>
        <w:autoSpaceDE w:val="0"/>
        <w:autoSpaceDN w:val="0"/>
        <w:adjustRightInd w:val="0"/>
        <w:jc w:val="both"/>
        <w:rPr>
          <w:rFonts w:cs="Arial"/>
          <w:szCs w:val="22"/>
        </w:rPr>
      </w:pPr>
    </w:p>
    <w:p w14:paraId="65C9C4F8" w14:textId="77777777" w:rsidR="00070BDE" w:rsidRPr="007847AA" w:rsidRDefault="00070BDE" w:rsidP="008D64E2">
      <w:pPr>
        <w:tabs>
          <w:tab w:val="left" w:pos="1980"/>
        </w:tabs>
        <w:autoSpaceDE w:val="0"/>
        <w:autoSpaceDN w:val="0"/>
        <w:adjustRightInd w:val="0"/>
        <w:jc w:val="both"/>
        <w:rPr>
          <w:rFonts w:cs="Arial"/>
          <w:szCs w:val="22"/>
        </w:rPr>
      </w:pPr>
    </w:p>
    <w:p w14:paraId="08964307" w14:textId="77777777" w:rsidR="00DB7AAB" w:rsidRPr="007847AA" w:rsidRDefault="00DB7AAB" w:rsidP="008D64E2">
      <w:pPr>
        <w:pStyle w:val="5Arial20BOLD"/>
      </w:pPr>
      <w:bookmarkStart w:id="5" w:name="_Toc7269211"/>
      <w:bookmarkStart w:id="6" w:name="_Toc37836181"/>
      <w:bookmarkStart w:id="7" w:name="_Toc38100301"/>
      <w:bookmarkStart w:id="8" w:name="_Toc453925535"/>
      <w:bookmarkStart w:id="9" w:name="_Toc453926062"/>
      <w:bookmarkStart w:id="10" w:name="_Toc97767045"/>
      <w:bookmarkStart w:id="11" w:name="_Toc171794643"/>
      <w:r w:rsidRPr="007847AA">
        <w:t xml:space="preserve">C.1 </w:t>
      </w:r>
      <w:bookmarkEnd w:id="5"/>
      <w:bookmarkEnd w:id="6"/>
      <w:bookmarkEnd w:id="7"/>
      <w:bookmarkEnd w:id="8"/>
      <w:bookmarkEnd w:id="9"/>
      <w:r w:rsidR="000809AC" w:rsidRPr="007847AA">
        <w:t>Housing Unit Rehabilitation</w:t>
      </w:r>
      <w:bookmarkEnd w:id="10"/>
      <w:bookmarkEnd w:id="11"/>
    </w:p>
    <w:p w14:paraId="07960A5C" w14:textId="77777777" w:rsidR="00A454E5" w:rsidRPr="007847AA" w:rsidRDefault="00A454E5" w:rsidP="008D64E2">
      <w:pPr>
        <w:pStyle w:val="1Arial11BODY"/>
        <w:spacing w:line="240" w:lineRule="auto"/>
      </w:pPr>
    </w:p>
    <w:p w14:paraId="22182259" w14:textId="77777777" w:rsidR="00A454E5" w:rsidRPr="007847AA" w:rsidRDefault="0093288F" w:rsidP="008D64E2">
      <w:pPr>
        <w:pStyle w:val="1BODY-Arial11justified"/>
        <w:spacing w:line="240" w:lineRule="auto"/>
        <w:rPr>
          <w:color w:val="auto"/>
        </w:rPr>
      </w:pPr>
      <w:r w:rsidRPr="007847AA">
        <w:rPr>
          <w:color w:val="auto"/>
        </w:rPr>
        <w:t>For purposes of this chapter, the term homeowner includes both individual owners for owner-occupied units and community</w:t>
      </w:r>
      <w:r w:rsidR="00ED16B3" w:rsidRPr="007847AA">
        <w:rPr>
          <w:color w:val="auto"/>
        </w:rPr>
        <w:t>-</w:t>
      </w:r>
      <w:r w:rsidRPr="007847AA">
        <w:rPr>
          <w:color w:val="auto"/>
        </w:rPr>
        <w:t>based development organizations (CBDO) that own units to be rehabilitated through TxCDBG funding.</w:t>
      </w:r>
      <w:r w:rsidR="00A454E5" w:rsidRPr="007847AA">
        <w:rPr>
          <w:color w:val="auto"/>
        </w:rPr>
        <w:t xml:space="preserve"> </w:t>
      </w:r>
    </w:p>
    <w:p w14:paraId="12EA6948" w14:textId="77777777" w:rsidR="008E54AE" w:rsidRPr="007847AA" w:rsidRDefault="008E54AE" w:rsidP="008D64E2">
      <w:pPr>
        <w:pStyle w:val="1BODY-Arial11justified"/>
        <w:spacing w:line="240" w:lineRule="auto"/>
        <w:rPr>
          <w:color w:val="auto"/>
        </w:rPr>
      </w:pPr>
    </w:p>
    <w:p w14:paraId="45D5A46E" w14:textId="2E628E1A" w:rsidR="000809AC" w:rsidRPr="007847AA" w:rsidRDefault="000809AC" w:rsidP="008D64E2">
      <w:pPr>
        <w:pStyle w:val="1BODY-Arial11justified"/>
        <w:spacing w:line="240" w:lineRule="auto"/>
        <w:rPr>
          <w:color w:val="auto"/>
        </w:rPr>
      </w:pPr>
      <w:r w:rsidRPr="007847AA">
        <w:rPr>
          <w:color w:val="auto"/>
        </w:rPr>
        <w:t>Grant Recipients administering housing activities on private property must maintain a Homeowner Case file for each property to be rehabilitated through TxCDBG grant funding</w:t>
      </w:r>
      <w:r w:rsidR="004E4444" w:rsidRPr="007847AA">
        <w:rPr>
          <w:color w:val="auto"/>
        </w:rPr>
        <w:t>, s</w:t>
      </w:r>
      <w:r w:rsidRPr="007847AA">
        <w:rPr>
          <w:color w:val="auto"/>
        </w:rPr>
        <w:t xml:space="preserve">ee </w:t>
      </w:r>
      <w:r w:rsidR="004E4444" w:rsidRPr="007847AA">
        <w:rPr>
          <w:i/>
          <w:iCs/>
          <w:color w:val="auto"/>
        </w:rPr>
        <w:t>Housing Rehabilitation Case File Review</w:t>
      </w:r>
      <w:r w:rsidR="004E4444" w:rsidRPr="007847AA" w:rsidDel="004E4444">
        <w:rPr>
          <w:i/>
          <w:iCs/>
          <w:color w:val="auto"/>
        </w:rPr>
        <w:t xml:space="preserve"> </w:t>
      </w:r>
      <w:r w:rsidR="007F2FFC" w:rsidRPr="007847AA">
        <w:rPr>
          <w:b/>
          <w:bCs/>
          <w:color w:val="auto"/>
        </w:rPr>
        <w:t>(</w:t>
      </w:r>
      <w:r w:rsidRPr="007847AA">
        <w:rPr>
          <w:b/>
          <w:bCs/>
          <w:color w:val="auto"/>
        </w:rPr>
        <w:t>Form C6</w:t>
      </w:r>
      <w:r w:rsidR="007F2FFC" w:rsidRPr="007847AA">
        <w:rPr>
          <w:b/>
          <w:bCs/>
          <w:color w:val="auto"/>
        </w:rPr>
        <w:t>)</w:t>
      </w:r>
      <w:r w:rsidRPr="007847AA">
        <w:rPr>
          <w:b/>
          <w:bCs/>
          <w:color w:val="auto"/>
        </w:rPr>
        <w:t>.</w:t>
      </w:r>
    </w:p>
    <w:p w14:paraId="0D157DA2" w14:textId="77777777" w:rsidR="00DB7AAB" w:rsidRPr="007847AA" w:rsidRDefault="00DB7AAB" w:rsidP="008D64E2">
      <w:pPr>
        <w:jc w:val="both"/>
        <w:rPr>
          <w:rFonts w:cs="Arial"/>
          <w:szCs w:val="22"/>
        </w:rPr>
      </w:pPr>
    </w:p>
    <w:p w14:paraId="0C8173D1" w14:textId="77777777" w:rsidR="00DB7AAB" w:rsidRPr="007847AA" w:rsidRDefault="007E0627" w:rsidP="008D64E2">
      <w:pPr>
        <w:pStyle w:val="Heading2"/>
      </w:pPr>
      <w:bookmarkStart w:id="12" w:name="_Toc453925536"/>
      <w:bookmarkStart w:id="13" w:name="_Toc453926063"/>
      <w:bookmarkStart w:id="14" w:name="_Toc97767046"/>
      <w:bookmarkStart w:id="15" w:name="_Toc171794644"/>
      <w:r w:rsidRPr="007847AA">
        <w:t xml:space="preserve">C.1.1 </w:t>
      </w:r>
      <w:r w:rsidR="00DB7AAB" w:rsidRPr="007847AA">
        <w:t>Property Eligibility</w:t>
      </w:r>
      <w:bookmarkEnd w:id="12"/>
      <w:bookmarkEnd w:id="13"/>
      <w:bookmarkEnd w:id="14"/>
      <w:bookmarkEnd w:id="15"/>
    </w:p>
    <w:p w14:paraId="5D44C2BC" w14:textId="77777777" w:rsidR="006D7E8F" w:rsidRPr="007847AA" w:rsidRDefault="006D7E8F" w:rsidP="008D64E2"/>
    <w:p w14:paraId="31EF8DC6" w14:textId="77777777" w:rsidR="007D247F" w:rsidRPr="007847AA" w:rsidRDefault="00956713" w:rsidP="008D64E2">
      <w:pPr>
        <w:pStyle w:val="1Arial11BODY"/>
        <w:spacing w:line="240" w:lineRule="auto"/>
      </w:pPr>
      <w:r w:rsidRPr="007847AA">
        <w:t>S</w:t>
      </w:r>
      <w:r w:rsidR="00DB7AAB" w:rsidRPr="007847AA">
        <w:t>ingle-family</w:t>
      </w:r>
      <w:r w:rsidR="006C7614" w:rsidRPr="007847AA">
        <w:t>,</w:t>
      </w:r>
      <w:r w:rsidR="00DB7AAB" w:rsidRPr="007847AA">
        <w:t xml:space="preserve"> owner-occupied units will be eligible for housing assistance. A family is</w:t>
      </w:r>
      <w:r w:rsidR="00A7184C" w:rsidRPr="007847AA">
        <w:t xml:space="preserve"> </w:t>
      </w:r>
      <w:r w:rsidR="00DB7AAB" w:rsidRPr="007847AA">
        <w:t xml:space="preserve">defined as a </w:t>
      </w:r>
      <w:r w:rsidR="00B24A0C" w:rsidRPr="007847AA">
        <w:t>homeowner</w:t>
      </w:r>
      <w:r w:rsidR="00DB7AAB" w:rsidRPr="007847AA">
        <w:t xml:space="preserve"> and one or more other </w:t>
      </w:r>
      <w:proofErr w:type="gramStart"/>
      <w:r w:rsidR="00DB7AAB" w:rsidRPr="007847AA">
        <w:t>persons</w:t>
      </w:r>
      <w:proofErr w:type="gramEnd"/>
      <w:r w:rsidR="00DB7AAB" w:rsidRPr="007847AA">
        <w:t xml:space="preserve"> living in the same household who</w:t>
      </w:r>
      <w:r w:rsidR="00A7184C" w:rsidRPr="007847AA">
        <w:t xml:space="preserve"> </w:t>
      </w:r>
      <w:r w:rsidR="00DB7AAB" w:rsidRPr="007847AA">
        <w:t xml:space="preserve">are members of his/her immediate family. </w:t>
      </w:r>
      <w:proofErr w:type="gramStart"/>
      <w:r w:rsidR="00DB7AAB" w:rsidRPr="007847AA">
        <w:t>Immediate</w:t>
      </w:r>
      <w:proofErr w:type="gramEnd"/>
      <w:r w:rsidR="00DB7AAB" w:rsidRPr="007847AA">
        <w:t xml:space="preserve"> family </w:t>
      </w:r>
      <w:proofErr w:type="gramStart"/>
      <w:r w:rsidR="00DB7AAB" w:rsidRPr="007847AA">
        <w:t>is considered to be</w:t>
      </w:r>
      <w:proofErr w:type="gramEnd"/>
      <w:r w:rsidR="00DB7AAB" w:rsidRPr="007847AA">
        <w:t xml:space="preserve"> spouses,</w:t>
      </w:r>
      <w:r w:rsidR="00A7184C" w:rsidRPr="007847AA">
        <w:t xml:space="preserve"> </w:t>
      </w:r>
      <w:r w:rsidR="00DB7AAB" w:rsidRPr="007847AA">
        <w:t>parents, children, and grandchildren. An individual living alone and joint tenants who both</w:t>
      </w:r>
      <w:r w:rsidR="00A7184C" w:rsidRPr="007847AA">
        <w:t xml:space="preserve"> </w:t>
      </w:r>
      <w:r w:rsidR="00DB7AAB" w:rsidRPr="007847AA">
        <w:t>occupy the unit are also eligible.</w:t>
      </w:r>
    </w:p>
    <w:p w14:paraId="4E1EB8D9" w14:textId="290BC3AC" w:rsidR="007D247F" w:rsidRPr="007847AA" w:rsidRDefault="007D247F" w:rsidP="008D64E2">
      <w:pPr>
        <w:pStyle w:val="2BULLETArial11"/>
        <w:spacing w:line="240" w:lineRule="auto"/>
        <w:ind w:left="720"/>
      </w:pPr>
      <w:r w:rsidRPr="007847AA">
        <w:t xml:space="preserve">Ownership is documented by a deed; a leasehold agreement with a </w:t>
      </w:r>
      <w:r w:rsidR="008D64E2" w:rsidRPr="007847AA">
        <w:t>ninety-nine (</w:t>
      </w:r>
      <w:r w:rsidRPr="007847AA">
        <w:t>99</w:t>
      </w:r>
      <w:r w:rsidR="008D64E2" w:rsidRPr="007847AA">
        <w:t xml:space="preserve">) </w:t>
      </w:r>
      <w:r w:rsidR="00ED16B3" w:rsidRPr="007847AA">
        <w:t>y</w:t>
      </w:r>
      <w:r w:rsidRPr="007847AA">
        <w:t xml:space="preserve">ear leasehold term; </w:t>
      </w:r>
      <w:r w:rsidR="006C7614" w:rsidRPr="007847AA">
        <w:t xml:space="preserve">or a </w:t>
      </w:r>
      <w:r w:rsidRPr="007847AA">
        <w:t xml:space="preserve">statement of ownership and location for </w:t>
      </w:r>
      <w:r w:rsidR="00ED16B3" w:rsidRPr="007847AA">
        <w:t>m</w:t>
      </w:r>
      <w:r w:rsidRPr="007847AA">
        <w:t xml:space="preserve">anufactured </w:t>
      </w:r>
      <w:r w:rsidR="00ED16B3" w:rsidRPr="007847AA">
        <w:t>h</w:t>
      </w:r>
      <w:r w:rsidRPr="007847AA">
        <w:t xml:space="preserve">ousing </w:t>
      </w:r>
      <w:r w:rsidR="00ED16B3" w:rsidRPr="007847AA">
        <w:t>u</w:t>
      </w:r>
      <w:r w:rsidRPr="007847AA">
        <w:t>nits</w:t>
      </w:r>
      <w:r w:rsidR="006D7E8F" w:rsidRPr="007847AA">
        <w:t>.</w:t>
      </w:r>
    </w:p>
    <w:p w14:paraId="0BA64775" w14:textId="77777777" w:rsidR="007D247F" w:rsidRPr="007847AA" w:rsidRDefault="007D247F" w:rsidP="008D64E2">
      <w:pPr>
        <w:pStyle w:val="2BULLETArial11"/>
        <w:spacing w:line="240" w:lineRule="auto"/>
        <w:ind w:left="720"/>
      </w:pPr>
      <w:r w:rsidRPr="007847AA">
        <w:t xml:space="preserve">Common types include a </w:t>
      </w:r>
      <w:r w:rsidR="00E76D57" w:rsidRPr="007847AA">
        <w:t>w</w:t>
      </w:r>
      <w:r w:rsidRPr="007847AA">
        <w:t xml:space="preserve">arranty </w:t>
      </w:r>
      <w:r w:rsidR="00E76D57" w:rsidRPr="007847AA">
        <w:t>d</w:t>
      </w:r>
      <w:r w:rsidRPr="007847AA">
        <w:t xml:space="preserve">eed; a </w:t>
      </w:r>
      <w:r w:rsidR="00E76D57" w:rsidRPr="007847AA">
        <w:t>w</w:t>
      </w:r>
      <w:r w:rsidRPr="007847AA">
        <w:t xml:space="preserve">arranty </w:t>
      </w:r>
      <w:r w:rsidR="00E76D57" w:rsidRPr="007847AA">
        <w:t>d</w:t>
      </w:r>
      <w:r w:rsidRPr="007847AA">
        <w:t xml:space="preserve">eed with </w:t>
      </w:r>
      <w:r w:rsidR="00E76D57" w:rsidRPr="007847AA">
        <w:t>v</w:t>
      </w:r>
      <w:r w:rsidRPr="007847AA">
        <w:t xml:space="preserve">endor’s Lien; a </w:t>
      </w:r>
      <w:r w:rsidR="00E76D57" w:rsidRPr="007847AA">
        <w:t>s</w:t>
      </w:r>
      <w:r w:rsidRPr="007847AA">
        <w:t xml:space="preserve">pecial </w:t>
      </w:r>
      <w:r w:rsidR="00E76D57" w:rsidRPr="007847AA">
        <w:t>w</w:t>
      </w:r>
      <w:r w:rsidRPr="007847AA">
        <w:t xml:space="preserve">arranty </w:t>
      </w:r>
      <w:r w:rsidR="00E76D57" w:rsidRPr="007847AA">
        <w:t>d</w:t>
      </w:r>
      <w:r w:rsidRPr="007847AA">
        <w:t xml:space="preserve">eed; a </w:t>
      </w:r>
      <w:r w:rsidR="00E76D57" w:rsidRPr="007847AA">
        <w:t>g</w:t>
      </w:r>
      <w:r w:rsidRPr="007847AA">
        <w:t xml:space="preserve">ift </w:t>
      </w:r>
      <w:r w:rsidR="00E76D57" w:rsidRPr="007847AA">
        <w:t>d</w:t>
      </w:r>
      <w:r w:rsidRPr="007847AA">
        <w:t xml:space="preserve">eed; a </w:t>
      </w:r>
      <w:r w:rsidR="00E76D57" w:rsidRPr="007847AA">
        <w:t>q</w:t>
      </w:r>
      <w:r w:rsidRPr="007847AA">
        <w:t xml:space="preserve">uit </w:t>
      </w:r>
      <w:r w:rsidR="00E76D57" w:rsidRPr="007847AA">
        <w:t>c</w:t>
      </w:r>
      <w:r w:rsidRPr="007847AA">
        <w:t xml:space="preserve">laim </w:t>
      </w:r>
      <w:r w:rsidR="00E76D57" w:rsidRPr="007847AA">
        <w:t>d</w:t>
      </w:r>
      <w:r w:rsidRPr="007847AA">
        <w:t xml:space="preserve">eed; and a </w:t>
      </w:r>
      <w:r w:rsidR="00E76D57" w:rsidRPr="007847AA">
        <w:t>s</w:t>
      </w:r>
      <w:r w:rsidRPr="007847AA">
        <w:t xml:space="preserve">heriff’s </w:t>
      </w:r>
      <w:r w:rsidR="00E76D57" w:rsidRPr="007847AA">
        <w:t>d</w:t>
      </w:r>
      <w:r w:rsidRPr="007847AA">
        <w:t>eed.</w:t>
      </w:r>
    </w:p>
    <w:p w14:paraId="05101931" w14:textId="77777777" w:rsidR="007D247F" w:rsidRPr="007847AA" w:rsidRDefault="007D247F" w:rsidP="008D64E2">
      <w:pPr>
        <w:pStyle w:val="2BULLETArial11"/>
        <w:spacing w:line="240" w:lineRule="auto"/>
        <w:ind w:left="720"/>
      </w:pPr>
      <w:r w:rsidRPr="007847AA">
        <w:t>A contract for deed</w:t>
      </w:r>
      <w:r w:rsidR="00E76D57" w:rsidRPr="007847AA">
        <w:t xml:space="preserve"> </w:t>
      </w:r>
      <w:r w:rsidRPr="007847AA">
        <w:t>is not a deed and does not convey ownership</w:t>
      </w:r>
      <w:r w:rsidR="007E2935" w:rsidRPr="007847AA">
        <w:t xml:space="preserve"> or title to the property</w:t>
      </w:r>
      <w:r w:rsidRPr="007847AA">
        <w:t>.</w:t>
      </w:r>
      <w:r w:rsidR="0033676B" w:rsidRPr="007847AA">
        <w:t xml:space="preserve"> Therefore, </w:t>
      </w:r>
      <w:r w:rsidR="00DC393F" w:rsidRPr="007847AA">
        <w:t xml:space="preserve">TxCDBG </w:t>
      </w:r>
      <w:r w:rsidR="0033676B" w:rsidRPr="007847AA">
        <w:t>assistance for homes that were financed through</w:t>
      </w:r>
      <w:r w:rsidR="00A30A00" w:rsidRPr="007847AA">
        <w:t xml:space="preserve"> a</w:t>
      </w:r>
      <w:r w:rsidR="0033676B" w:rsidRPr="007847AA">
        <w:t xml:space="preserve"> </w:t>
      </w:r>
      <w:r w:rsidR="003049CB" w:rsidRPr="007847AA">
        <w:t>contract for deed</w:t>
      </w:r>
      <w:r w:rsidR="0033676B" w:rsidRPr="007847AA">
        <w:t xml:space="preserve"> financing mechanism will not be allowed.</w:t>
      </w:r>
    </w:p>
    <w:p w14:paraId="55A31D6E" w14:textId="77777777" w:rsidR="0033676B" w:rsidRPr="007847AA" w:rsidRDefault="0033676B" w:rsidP="008D64E2">
      <w:pPr>
        <w:pStyle w:val="2BULLETArial11"/>
        <w:numPr>
          <w:ilvl w:val="0"/>
          <w:numId w:val="6"/>
        </w:numPr>
        <w:spacing w:line="240" w:lineRule="auto"/>
        <w:ind w:left="1080"/>
      </w:pPr>
      <w:r w:rsidRPr="007847AA">
        <w:t xml:space="preserve">For </w:t>
      </w:r>
      <w:r w:rsidR="00DC393F" w:rsidRPr="007847AA">
        <w:t xml:space="preserve">certain </w:t>
      </w:r>
      <w:r w:rsidRPr="007847AA">
        <w:t xml:space="preserve">homes </w:t>
      </w:r>
      <w:r w:rsidR="00A30A00" w:rsidRPr="007847AA">
        <w:t>that were financed through a contract for deed</w:t>
      </w:r>
      <w:r w:rsidRPr="007847AA">
        <w:t>, assistance converting a contract for deed to a traditional warranty deed is available.</w:t>
      </w:r>
      <w:r w:rsidR="00F23107" w:rsidRPr="007847AA">
        <w:t xml:space="preserve"> </w:t>
      </w:r>
      <w:r w:rsidRPr="007847AA">
        <w:t>Contact the Texas Department of Housing and Community Affairs (TDHCA) HOME Program.</w:t>
      </w:r>
    </w:p>
    <w:p w14:paraId="6DACDA60" w14:textId="77777777" w:rsidR="0033676B" w:rsidRPr="007847AA" w:rsidRDefault="0033676B" w:rsidP="008D64E2">
      <w:pPr>
        <w:pStyle w:val="ListParagraph"/>
        <w:autoSpaceDE w:val="0"/>
        <w:autoSpaceDN w:val="0"/>
        <w:adjustRightInd w:val="0"/>
        <w:ind w:left="1080" w:right="-36" w:hanging="360"/>
        <w:contextualSpacing/>
        <w:jc w:val="both"/>
        <w:rPr>
          <w:rFonts w:cs="Arial"/>
          <w:szCs w:val="22"/>
        </w:rPr>
      </w:pPr>
    </w:p>
    <w:p w14:paraId="1B4297C7" w14:textId="77777777" w:rsidR="007E0627" w:rsidRPr="007847AA" w:rsidRDefault="00956713" w:rsidP="008D64E2">
      <w:pPr>
        <w:pStyle w:val="1Arial11BODY"/>
        <w:spacing w:line="240" w:lineRule="auto"/>
      </w:pPr>
      <w:r w:rsidRPr="007847AA">
        <w:t>Single-family unit</w:t>
      </w:r>
      <w:r w:rsidR="00543884" w:rsidRPr="007847AA">
        <w:t>(</w:t>
      </w:r>
      <w:r w:rsidRPr="007847AA">
        <w:t>s</w:t>
      </w:r>
      <w:r w:rsidR="00543884" w:rsidRPr="007847AA">
        <w:t>)</w:t>
      </w:r>
      <w:r w:rsidRPr="007847AA">
        <w:t xml:space="preserve"> owne</w:t>
      </w:r>
      <w:r w:rsidR="0056074F" w:rsidRPr="007847AA">
        <w:t>d</w:t>
      </w:r>
      <w:r w:rsidRPr="007847AA">
        <w:t xml:space="preserve"> by a </w:t>
      </w:r>
      <w:r w:rsidR="00DD51FA" w:rsidRPr="007847AA">
        <w:t>community</w:t>
      </w:r>
      <w:r w:rsidR="00E76D57" w:rsidRPr="007847AA">
        <w:t>-</w:t>
      </w:r>
      <w:r w:rsidR="00DD51FA" w:rsidRPr="007847AA">
        <w:t>based development organization (CBDO)</w:t>
      </w:r>
      <w:r w:rsidRPr="007847AA">
        <w:t xml:space="preserve"> and occupied by </w:t>
      </w:r>
      <w:r w:rsidR="0056074F" w:rsidRPr="007847AA">
        <w:t xml:space="preserve">primarily </w:t>
      </w:r>
      <w:r w:rsidRPr="007847AA">
        <w:t>low</w:t>
      </w:r>
      <w:r w:rsidR="001D3A95" w:rsidRPr="007847AA">
        <w:t xml:space="preserve">- </w:t>
      </w:r>
      <w:r w:rsidR="0056074F" w:rsidRPr="007847AA">
        <w:t>or</w:t>
      </w:r>
      <w:r w:rsidRPr="007847AA">
        <w:t xml:space="preserve"> moderate</w:t>
      </w:r>
      <w:r w:rsidR="001D3A95" w:rsidRPr="007847AA">
        <w:t>-</w:t>
      </w:r>
      <w:r w:rsidRPr="007847AA">
        <w:t xml:space="preserve">income persons will be eligible for assistance.  </w:t>
      </w:r>
    </w:p>
    <w:p w14:paraId="64C56D5B" w14:textId="77777777" w:rsidR="007E0627" w:rsidRPr="007847AA" w:rsidRDefault="00956713" w:rsidP="008D64E2">
      <w:pPr>
        <w:pStyle w:val="2BULLETArial11"/>
        <w:spacing w:line="240" w:lineRule="auto"/>
      </w:pPr>
      <w:r w:rsidRPr="007847AA">
        <w:t>A single</w:t>
      </w:r>
      <w:r w:rsidR="00E76D57" w:rsidRPr="007847AA">
        <w:t>-</w:t>
      </w:r>
      <w:r w:rsidRPr="007847AA">
        <w:t xml:space="preserve">family structure is defined as </w:t>
      </w:r>
      <w:r w:rsidR="00E76D57" w:rsidRPr="007847AA">
        <w:t>one</w:t>
      </w:r>
      <w:r w:rsidRPr="007847AA">
        <w:t xml:space="preserve"> to </w:t>
      </w:r>
      <w:r w:rsidR="00E76D57" w:rsidRPr="007847AA">
        <w:t>four</w:t>
      </w:r>
      <w:r w:rsidRPr="007847AA">
        <w:t xml:space="preserve"> units</w:t>
      </w:r>
      <w:r w:rsidR="001A6729" w:rsidRPr="007847AA">
        <w:t>; only the units occupied by LMI persons are eligible for assistance</w:t>
      </w:r>
      <w:r w:rsidRPr="007847AA">
        <w:t xml:space="preserve">. </w:t>
      </w:r>
      <w:r w:rsidR="007E0627" w:rsidRPr="007847AA">
        <w:t xml:space="preserve"> </w:t>
      </w:r>
    </w:p>
    <w:p w14:paraId="05012184" w14:textId="77777777" w:rsidR="0093288F" w:rsidRPr="007847AA" w:rsidRDefault="0093288F" w:rsidP="008D64E2">
      <w:pPr>
        <w:pStyle w:val="2BULLETArial11"/>
        <w:spacing w:line="240" w:lineRule="auto"/>
      </w:pPr>
      <w:r w:rsidRPr="007847AA">
        <w:t>The CBDO must sign a letter of commitment to maintain the housing units for residents that meet eligibility criteria of both CDBG and the CBDO for a minimum of five years.</w:t>
      </w:r>
    </w:p>
    <w:p w14:paraId="176F762F" w14:textId="5D4D8D7C" w:rsidR="00956713" w:rsidRPr="007847AA" w:rsidRDefault="001A6729" w:rsidP="008D64E2">
      <w:pPr>
        <w:pStyle w:val="2BULLETArial11"/>
        <w:spacing w:line="240" w:lineRule="auto"/>
      </w:pPr>
      <w:r w:rsidRPr="007847AA">
        <w:t xml:space="preserve">A </w:t>
      </w:r>
      <w:r w:rsidR="00DD51FA" w:rsidRPr="007847AA">
        <w:t>CBDO</w:t>
      </w:r>
      <w:r w:rsidRPr="007847AA">
        <w:t xml:space="preserve"> </w:t>
      </w:r>
      <w:r w:rsidR="0056074F" w:rsidRPr="007847AA">
        <w:t xml:space="preserve">must meet the </w:t>
      </w:r>
      <w:r w:rsidR="00DD51FA" w:rsidRPr="007847AA">
        <w:t xml:space="preserve">definition found in </w:t>
      </w:r>
      <w:r w:rsidR="005E0F90" w:rsidRPr="007847AA">
        <w:t>the Housing and C</w:t>
      </w:r>
      <w:r w:rsidR="00DD51FA" w:rsidRPr="007847AA">
        <w:t xml:space="preserve">ommunity Development Act of 1974, as </w:t>
      </w:r>
      <w:r w:rsidR="001D3A95" w:rsidRPr="007847AA">
        <w:t>a</w:t>
      </w:r>
      <w:r w:rsidR="00DD51FA" w:rsidRPr="007847AA">
        <w:t>mended</w:t>
      </w:r>
      <w:r w:rsidR="00BB63EB" w:rsidRPr="007847AA">
        <w:t>,</w:t>
      </w:r>
      <w:r w:rsidR="001837D3" w:rsidRPr="007847AA">
        <w:rPr>
          <w:rStyle w:val="FootnoteReference"/>
        </w:rPr>
        <w:footnoteReference w:id="1"/>
      </w:r>
      <w:r w:rsidR="00D47343" w:rsidRPr="007847AA">
        <w:t xml:space="preserve"> </w:t>
      </w:r>
      <w:r w:rsidR="00406B71" w:rsidRPr="007847AA">
        <w:t>which include</w:t>
      </w:r>
      <w:r w:rsidR="002A566E" w:rsidRPr="007847AA">
        <w:t>:</w:t>
      </w:r>
    </w:p>
    <w:p w14:paraId="2A15A984" w14:textId="26650553" w:rsidR="00DD51FA" w:rsidRPr="007847AA" w:rsidRDefault="001837D3" w:rsidP="008D64E2">
      <w:pPr>
        <w:pStyle w:val="2BULLETArial11"/>
        <w:numPr>
          <w:ilvl w:val="0"/>
          <w:numId w:val="7"/>
        </w:numPr>
        <w:spacing w:line="240" w:lineRule="auto"/>
        <w:ind w:left="1080"/>
      </w:pPr>
      <w:r w:rsidRPr="007847AA">
        <w:t>N</w:t>
      </w:r>
      <w:r w:rsidR="00DD51FA" w:rsidRPr="007847AA">
        <w:t xml:space="preserve">eighborhood-based nonprofit </w:t>
      </w:r>
      <w:proofErr w:type="gramStart"/>
      <w:r w:rsidR="00DD51FA" w:rsidRPr="007847AA">
        <w:t>organizations</w:t>
      </w:r>
      <w:r w:rsidR="00F23107" w:rsidRPr="007847AA">
        <w:t>;</w:t>
      </w:r>
      <w:proofErr w:type="gramEnd"/>
    </w:p>
    <w:p w14:paraId="1C14E886" w14:textId="0C8A1A8C" w:rsidR="00DD51FA" w:rsidRPr="007847AA" w:rsidRDefault="001837D3" w:rsidP="008D64E2">
      <w:pPr>
        <w:pStyle w:val="2BULLETArial11"/>
        <w:numPr>
          <w:ilvl w:val="0"/>
          <w:numId w:val="7"/>
        </w:numPr>
        <w:spacing w:line="240" w:lineRule="auto"/>
        <w:ind w:left="1080"/>
      </w:pPr>
      <w:r w:rsidRPr="007847AA">
        <w:t>L</w:t>
      </w:r>
      <w:r w:rsidR="00DD51FA" w:rsidRPr="007847AA">
        <w:t xml:space="preserve">ocal development </w:t>
      </w:r>
      <w:proofErr w:type="gramStart"/>
      <w:r w:rsidR="00DD51FA" w:rsidRPr="007847AA">
        <w:t>corporations</w:t>
      </w:r>
      <w:r w:rsidR="00F23107" w:rsidRPr="007847AA">
        <w:t>;</w:t>
      </w:r>
      <w:proofErr w:type="gramEnd"/>
    </w:p>
    <w:p w14:paraId="69291FAA" w14:textId="292914B9" w:rsidR="00DD51FA" w:rsidRPr="007847AA" w:rsidRDefault="001837D3" w:rsidP="008D64E2">
      <w:pPr>
        <w:pStyle w:val="2BULLETArial11"/>
        <w:numPr>
          <w:ilvl w:val="0"/>
          <w:numId w:val="7"/>
        </w:numPr>
        <w:spacing w:line="240" w:lineRule="auto"/>
        <w:ind w:left="1080"/>
      </w:pPr>
      <w:r w:rsidRPr="007847AA">
        <w:t>N</w:t>
      </w:r>
      <w:r w:rsidR="00DD51FA" w:rsidRPr="007847AA">
        <w:t>onprofit organizations serving the development needs of the communities in non</w:t>
      </w:r>
      <w:r w:rsidR="00D31389" w:rsidRPr="007847AA">
        <w:t>-</w:t>
      </w:r>
      <w:r w:rsidR="00DD51FA" w:rsidRPr="007847AA">
        <w:t xml:space="preserve">entitlement </w:t>
      </w:r>
      <w:proofErr w:type="gramStart"/>
      <w:r w:rsidR="00DD51FA" w:rsidRPr="007847AA">
        <w:t>areas</w:t>
      </w:r>
      <w:r w:rsidR="00F23107" w:rsidRPr="007847AA">
        <w:t>;</w:t>
      </w:r>
      <w:proofErr w:type="gramEnd"/>
    </w:p>
    <w:p w14:paraId="69B0A56E" w14:textId="44BC5900" w:rsidR="00DD51FA" w:rsidRPr="007847AA" w:rsidRDefault="001837D3" w:rsidP="008D64E2">
      <w:pPr>
        <w:pStyle w:val="2BULLETArial11"/>
        <w:numPr>
          <w:ilvl w:val="0"/>
          <w:numId w:val="7"/>
        </w:numPr>
        <w:spacing w:line="240" w:lineRule="auto"/>
        <w:ind w:left="1080"/>
      </w:pPr>
      <w:r w:rsidRPr="007847AA">
        <w:t>E</w:t>
      </w:r>
      <w:r w:rsidR="00DD51FA" w:rsidRPr="007847AA">
        <w:t>ntities organized under section 301(d) of the Small Business Investment Act of 1958 to carry out a neighborhood revitalization</w:t>
      </w:r>
      <w:r w:rsidR="00506BA4" w:rsidRPr="007847AA">
        <w:t>,</w:t>
      </w:r>
      <w:r w:rsidR="00DD51FA" w:rsidRPr="007847AA">
        <w:t xml:space="preserve"> community economic development</w:t>
      </w:r>
      <w:r w:rsidR="00506BA4" w:rsidRPr="007847AA">
        <w:t>,</w:t>
      </w:r>
      <w:r w:rsidR="00DD51FA" w:rsidRPr="007847AA">
        <w:t xml:space="preserve"> or energy conservation project in furtherance of the objectives of section 101(c) of this title</w:t>
      </w:r>
      <w:r w:rsidR="00F23107" w:rsidRPr="007847AA">
        <w:t>;</w:t>
      </w:r>
      <w:r w:rsidR="00DD51FA" w:rsidRPr="007847AA">
        <w:t xml:space="preserve"> and </w:t>
      </w:r>
    </w:p>
    <w:p w14:paraId="38C763A6" w14:textId="0D865159" w:rsidR="00DD51FA" w:rsidRPr="007847AA" w:rsidRDefault="001837D3" w:rsidP="008D64E2">
      <w:pPr>
        <w:pStyle w:val="2BULLETArial11"/>
        <w:numPr>
          <w:ilvl w:val="0"/>
          <w:numId w:val="7"/>
        </w:numPr>
        <w:spacing w:line="240" w:lineRule="auto"/>
        <w:ind w:left="1080"/>
      </w:pPr>
      <w:r w:rsidRPr="007847AA">
        <w:t>N</w:t>
      </w:r>
      <w:r w:rsidR="00DD51FA" w:rsidRPr="007847AA">
        <w:t>onprofit organizations assisting the development of shared housing opportunities (other than by construction of new facilities) for elderly families.</w:t>
      </w:r>
    </w:p>
    <w:p w14:paraId="5446A65A" w14:textId="77777777" w:rsidR="00DB7AAB" w:rsidRPr="007847AA" w:rsidRDefault="00DB7AAB" w:rsidP="008D64E2">
      <w:pPr>
        <w:autoSpaceDE w:val="0"/>
        <w:autoSpaceDN w:val="0"/>
        <w:ind w:right="-36"/>
        <w:rPr>
          <w:rFonts w:cs="Arial"/>
          <w:szCs w:val="22"/>
        </w:rPr>
      </w:pPr>
    </w:p>
    <w:p w14:paraId="3568BCBD" w14:textId="3E09A31D" w:rsidR="00570278" w:rsidRPr="007847AA" w:rsidRDefault="00DB7AAB" w:rsidP="008D64E2">
      <w:pPr>
        <w:pStyle w:val="1Arial11BODY"/>
        <w:spacing w:line="240" w:lineRule="auto"/>
      </w:pPr>
      <w:r w:rsidRPr="007847AA">
        <w:t xml:space="preserve">Manufactured homes will only be considered as eligible units if they are anchored in accordance with the manufacturer's installation instructions or the generic standards approved and </w:t>
      </w:r>
      <w:r w:rsidR="00506BA4" w:rsidRPr="007847AA">
        <w:t xml:space="preserve">announced </w:t>
      </w:r>
      <w:r w:rsidRPr="007847AA">
        <w:t xml:space="preserve">by the </w:t>
      </w:r>
      <w:r w:rsidR="001837D3" w:rsidRPr="007847AA">
        <w:t>TDHCA</w:t>
      </w:r>
      <w:r w:rsidRPr="007847AA">
        <w:t xml:space="preserve"> Manufactured Housing Division. Substantial reconstruction of such a home will consist of a replacement manufactured home. </w:t>
      </w:r>
    </w:p>
    <w:p w14:paraId="18857C21" w14:textId="77777777" w:rsidR="0039518E" w:rsidRPr="007847AA" w:rsidRDefault="0039518E" w:rsidP="008D64E2">
      <w:pPr>
        <w:jc w:val="both"/>
        <w:rPr>
          <w:rFonts w:cs="Arial"/>
          <w:b/>
          <w:szCs w:val="22"/>
        </w:rPr>
      </w:pPr>
    </w:p>
    <w:p w14:paraId="53F7ABC5" w14:textId="77777777" w:rsidR="00DB7AAB" w:rsidRPr="007847AA" w:rsidRDefault="00070BDE" w:rsidP="008D64E2">
      <w:pPr>
        <w:pStyle w:val="Heading2"/>
      </w:pPr>
      <w:bookmarkStart w:id="16" w:name="_Toc453925537"/>
      <w:bookmarkStart w:id="17" w:name="_Toc453926064"/>
      <w:bookmarkStart w:id="18" w:name="_Toc97767047"/>
      <w:bookmarkStart w:id="19" w:name="_Toc171794645"/>
      <w:r w:rsidRPr="007847AA">
        <w:t xml:space="preserve">C.1.2 </w:t>
      </w:r>
      <w:r w:rsidR="0039518E" w:rsidRPr="007847AA">
        <w:t>E</w:t>
      </w:r>
      <w:r w:rsidR="00DB7AAB" w:rsidRPr="007847AA">
        <w:t xml:space="preserve">ligible </w:t>
      </w:r>
      <w:r w:rsidR="0039518E" w:rsidRPr="007847AA">
        <w:t>A</w:t>
      </w:r>
      <w:r w:rsidR="00DB7AAB" w:rsidRPr="007847AA">
        <w:t>ctivities</w:t>
      </w:r>
      <w:bookmarkEnd w:id="16"/>
      <w:bookmarkEnd w:id="17"/>
      <w:bookmarkEnd w:id="18"/>
      <w:bookmarkEnd w:id="19"/>
    </w:p>
    <w:p w14:paraId="5F857DBB" w14:textId="77777777" w:rsidR="00DB7AAB" w:rsidRPr="007847AA" w:rsidRDefault="00DB7AAB" w:rsidP="008D64E2">
      <w:pPr>
        <w:jc w:val="both"/>
        <w:rPr>
          <w:rFonts w:cs="Arial"/>
          <w:szCs w:val="22"/>
        </w:rPr>
      </w:pPr>
    </w:p>
    <w:p w14:paraId="1F354E9F" w14:textId="77777777" w:rsidR="00070BDE" w:rsidRPr="007847AA" w:rsidRDefault="00070BDE" w:rsidP="008D64E2">
      <w:pPr>
        <w:pStyle w:val="1Arial11BODY"/>
        <w:spacing w:line="240" w:lineRule="auto"/>
      </w:pPr>
      <w:r w:rsidRPr="007847AA">
        <w:rPr>
          <w:b/>
          <w:bCs/>
        </w:rPr>
        <w:t>Rehabilitation</w:t>
      </w:r>
      <w:r w:rsidR="00C73241" w:rsidRPr="007847AA">
        <w:t xml:space="preserve"> – </w:t>
      </w:r>
      <w:r w:rsidR="00D675E6" w:rsidRPr="007847AA">
        <w:t xml:space="preserve">Materials, labor, and other construction costs for </w:t>
      </w:r>
      <w:r w:rsidRPr="007847AA">
        <w:t>the rehabilitation of housing units that are inhabited by low</w:t>
      </w:r>
      <w:r w:rsidR="001D3A95" w:rsidRPr="007847AA">
        <w:t>-</w:t>
      </w:r>
      <w:r w:rsidRPr="007847AA">
        <w:t xml:space="preserve"> or moderate</w:t>
      </w:r>
      <w:r w:rsidR="001D3A95" w:rsidRPr="007847AA">
        <w:t>-i</w:t>
      </w:r>
      <w:r w:rsidRPr="007847AA">
        <w:t>ncome persons.</w:t>
      </w:r>
      <w:r w:rsidR="00877656" w:rsidRPr="007847AA">
        <w:t xml:space="preserve"> </w:t>
      </w:r>
      <w:r w:rsidRPr="007847AA">
        <w:t xml:space="preserve">Housing rehabilitation activities must bring each rehabilitated unit up to HUD Section 8 existing </w:t>
      </w:r>
      <w:r w:rsidR="00785A10" w:rsidRPr="007847AA">
        <w:t>H</w:t>
      </w:r>
      <w:r w:rsidRPr="007847AA">
        <w:t xml:space="preserve">ousing </w:t>
      </w:r>
      <w:r w:rsidR="00785A10" w:rsidRPr="007847AA">
        <w:t>Q</w:t>
      </w:r>
      <w:r w:rsidRPr="007847AA">
        <w:t xml:space="preserve">uality </w:t>
      </w:r>
      <w:r w:rsidR="00785A10" w:rsidRPr="007847AA">
        <w:t>S</w:t>
      </w:r>
      <w:r w:rsidRPr="007847AA">
        <w:t xml:space="preserve">tandards (HQS) and to the Texas Minimum Construction Standards (TMCS). </w:t>
      </w:r>
      <w:r w:rsidR="00EA3407" w:rsidRPr="007847AA">
        <w:t xml:space="preserve">Rehabilitation to assist persons with disabilities includes any improvements necessary to make the housing unit accessible to the residents. </w:t>
      </w:r>
      <w:r w:rsidRPr="007847AA">
        <w:t xml:space="preserve">Rehabilitation activities shall be subject to the </w:t>
      </w:r>
      <w:r w:rsidR="00877656" w:rsidRPr="007847AA">
        <w:t>l</w:t>
      </w:r>
      <w:r w:rsidRPr="007847AA">
        <w:t>ead</w:t>
      </w:r>
      <w:r w:rsidR="00877656" w:rsidRPr="007847AA">
        <w:t>-b</w:t>
      </w:r>
      <w:r w:rsidRPr="007847AA">
        <w:t xml:space="preserve">ased </w:t>
      </w:r>
      <w:r w:rsidR="00877656" w:rsidRPr="007847AA">
        <w:t>p</w:t>
      </w:r>
      <w:r w:rsidRPr="007847AA">
        <w:t>aint regulations which may require the Grant Recipient to incur additional costs associated with lead abatement.</w:t>
      </w:r>
      <w:r w:rsidR="00877656" w:rsidRPr="007847AA">
        <w:t xml:space="preserve"> </w:t>
      </w:r>
      <w:r w:rsidR="0078588A" w:rsidRPr="007847AA">
        <w:t>In addition to federal lead-based paint disclosure and safety policies addressed here, the Grant Recipient is responsible for ensuring compliance with any state or local requirements that may apply.</w:t>
      </w:r>
    </w:p>
    <w:p w14:paraId="5B15DB83" w14:textId="77777777" w:rsidR="00070BDE" w:rsidRPr="007847AA" w:rsidRDefault="00070BDE" w:rsidP="008D64E2">
      <w:pPr>
        <w:autoSpaceDE w:val="0"/>
        <w:autoSpaceDN w:val="0"/>
        <w:rPr>
          <w:rFonts w:cs="Arial"/>
          <w:szCs w:val="22"/>
        </w:rPr>
      </w:pPr>
    </w:p>
    <w:p w14:paraId="709321CE" w14:textId="137C7D02" w:rsidR="00DB7AAB" w:rsidRPr="007847AA" w:rsidRDefault="00DB7AAB" w:rsidP="008D64E2">
      <w:pPr>
        <w:pStyle w:val="1Arial11BODY"/>
        <w:spacing w:line="240" w:lineRule="auto"/>
      </w:pPr>
      <w:r w:rsidRPr="007847AA">
        <w:rPr>
          <w:b/>
          <w:bCs/>
        </w:rPr>
        <w:t>Reconstruction</w:t>
      </w:r>
      <w:r w:rsidR="00C73241" w:rsidRPr="007847AA">
        <w:t xml:space="preserve"> – </w:t>
      </w:r>
      <w:r w:rsidR="00D675E6" w:rsidRPr="007847AA">
        <w:t xml:space="preserve">Materials, labor, and other construction costs for </w:t>
      </w:r>
      <w:r w:rsidR="00171CC6" w:rsidRPr="007847AA">
        <w:t>t</w:t>
      </w:r>
      <w:r w:rsidRPr="007847AA">
        <w:t xml:space="preserve">he substantial reconstruction </w:t>
      </w:r>
      <w:r w:rsidR="001017A7" w:rsidRPr="007847AA">
        <w:t>of housing</w:t>
      </w:r>
      <w:r w:rsidRPr="007847AA">
        <w:t xml:space="preserve"> units. Substantial reconstruction may be necessary if the housing unit is dilapidated beyond rehabilitation, or the cost of the rehabilitation is greater than the cost to reconstruct.</w:t>
      </w:r>
      <w:r w:rsidR="001F30B1" w:rsidRPr="007847AA">
        <w:t xml:space="preserve"> </w:t>
      </w:r>
      <w:r w:rsidRPr="007847AA">
        <w:t xml:space="preserve">The existing structure must be </w:t>
      </w:r>
      <w:r w:rsidR="00506BA4" w:rsidRPr="007847AA">
        <w:t>demolished,</w:t>
      </w:r>
      <w:r w:rsidRPr="007847AA">
        <w:t xml:space="preserve"> and the new unit must be constructed on the same site in essentially the same manner, e.g., site-built housing replaced by new site-built housing. </w:t>
      </w:r>
    </w:p>
    <w:p w14:paraId="5784C748" w14:textId="77777777" w:rsidR="00DB7AAB" w:rsidRPr="007847AA" w:rsidRDefault="00DB7AAB" w:rsidP="008D64E2">
      <w:pPr>
        <w:pStyle w:val="1Arial11BODY"/>
        <w:spacing w:line="240" w:lineRule="auto"/>
      </w:pPr>
    </w:p>
    <w:p w14:paraId="1BDE0148" w14:textId="21AE83C3" w:rsidR="00DB7AAB" w:rsidRPr="007847AA" w:rsidRDefault="00AC2C3E" w:rsidP="008D64E2">
      <w:pPr>
        <w:pStyle w:val="1Arial11BODY"/>
        <w:spacing w:line="240" w:lineRule="auto"/>
      </w:pPr>
      <w:r w:rsidRPr="007847AA">
        <w:rPr>
          <w:b/>
          <w:bCs/>
        </w:rPr>
        <w:t>Administration</w:t>
      </w:r>
      <w:r w:rsidRPr="007847AA">
        <w:t xml:space="preserve"> </w:t>
      </w:r>
      <w:r w:rsidR="00DB7AAB" w:rsidRPr="007847AA">
        <w:rPr>
          <w:b/>
          <w:bCs/>
        </w:rPr>
        <w:t>Costs</w:t>
      </w:r>
      <w:r w:rsidR="00C73241" w:rsidRPr="007847AA">
        <w:rPr>
          <w:b/>
        </w:rPr>
        <w:t xml:space="preserve"> – </w:t>
      </w:r>
      <w:r w:rsidR="00D675E6" w:rsidRPr="007847AA">
        <w:t>A</w:t>
      </w:r>
      <w:r w:rsidR="00DB7AAB" w:rsidRPr="007847AA">
        <w:t xml:space="preserve">dministrative costs associated with the housing assistance program, in amounts designated by the </w:t>
      </w:r>
      <w:r w:rsidR="0033337F" w:rsidRPr="007847AA">
        <w:t xml:space="preserve">TxCDBG </w:t>
      </w:r>
      <w:r w:rsidR="00762204" w:rsidRPr="007847AA">
        <w:t>G</w:t>
      </w:r>
      <w:r w:rsidR="00237889" w:rsidRPr="007847AA">
        <w:t xml:space="preserve">rant </w:t>
      </w:r>
      <w:r w:rsidR="00762204" w:rsidRPr="007847AA">
        <w:t>A</w:t>
      </w:r>
      <w:r w:rsidR="00237889" w:rsidRPr="007847AA">
        <w:t>greement</w:t>
      </w:r>
      <w:r w:rsidR="002A566E" w:rsidRPr="007847AA">
        <w:t>, s</w:t>
      </w:r>
      <w:r w:rsidR="00DB7AAB" w:rsidRPr="007847AA">
        <w:t xml:space="preserve">ee </w:t>
      </w:r>
      <w:r w:rsidR="00DB7AAB" w:rsidRPr="007847AA">
        <w:rPr>
          <w:i/>
          <w:iCs/>
        </w:rPr>
        <w:t>Chapter 2 Financial Management</w:t>
      </w:r>
      <w:r w:rsidR="00DB7AAB" w:rsidRPr="007847AA">
        <w:t xml:space="preserve"> for </w:t>
      </w:r>
      <w:r w:rsidR="002A566E" w:rsidRPr="007847AA">
        <w:t>Payment Request</w:t>
      </w:r>
      <w:r w:rsidR="00DB7AAB" w:rsidRPr="007847AA">
        <w:t xml:space="preserve"> Procedures. </w:t>
      </w:r>
    </w:p>
    <w:p w14:paraId="2EE3DEC1" w14:textId="77777777" w:rsidR="00DB7AAB" w:rsidRPr="007847AA" w:rsidRDefault="00DB7AAB" w:rsidP="008D64E2">
      <w:pPr>
        <w:pStyle w:val="1Arial11BODY"/>
        <w:spacing w:line="240" w:lineRule="auto"/>
      </w:pPr>
    </w:p>
    <w:p w14:paraId="76E56368" w14:textId="71C789E1" w:rsidR="00E1389E" w:rsidRPr="007847AA" w:rsidRDefault="00DB7AAB" w:rsidP="008D64E2">
      <w:pPr>
        <w:pStyle w:val="1Arial11BODY"/>
        <w:spacing w:line="240" w:lineRule="auto"/>
      </w:pPr>
      <w:r w:rsidRPr="007847AA">
        <w:rPr>
          <w:b/>
          <w:bCs/>
        </w:rPr>
        <w:t>Inspections</w:t>
      </w:r>
      <w:r w:rsidR="00C73241" w:rsidRPr="007847AA">
        <w:rPr>
          <w:b/>
        </w:rPr>
        <w:t xml:space="preserve"> – </w:t>
      </w:r>
      <w:r w:rsidR="00D675E6" w:rsidRPr="007847AA">
        <w:t>I</w:t>
      </w:r>
      <w:r w:rsidRPr="007847AA">
        <w:t xml:space="preserve">nspection costs </w:t>
      </w:r>
      <w:r w:rsidR="000D7D6A" w:rsidRPr="007847AA">
        <w:t xml:space="preserve">conducted by </w:t>
      </w:r>
      <w:r w:rsidR="00DE7359" w:rsidRPr="007847AA">
        <w:t xml:space="preserve">a </w:t>
      </w:r>
      <w:r w:rsidR="00877656" w:rsidRPr="007847AA">
        <w:t>c</w:t>
      </w:r>
      <w:r w:rsidR="00DE7359" w:rsidRPr="007847AA">
        <w:t xml:space="preserve">ertified </w:t>
      </w:r>
      <w:r w:rsidR="00877656" w:rsidRPr="007847AA">
        <w:t>p</w:t>
      </w:r>
      <w:r w:rsidR="00DE7359" w:rsidRPr="007847AA">
        <w:t xml:space="preserve">rofessional </w:t>
      </w:r>
      <w:proofErr w:type="gramStart"/>
      <w:r w:rsidR="00877656" w:rsidRPr="007847AA">
        <w:t>i</w:t>
      </w:r>
      <w:r w:rsidR="00DE7359" w:rsidRPr="007847AA">
        <w:t>nspector</w:t>
      </w:r>
      <w:proofErr w:type="gramEnd"/>
      <w:r w:rsidR="00DE7359" w:rsidRPr="007847AA">
        <w:t xml:space="preserve"> or a </w:t>
      </w:r>
      <w:r w:rsidR="00877656" w:rsidRPr="007847AA">
        <w:t>q</w:t>
      </w:r>
      <w:r w:rsidR="00DE7359" w:rsidRPr="007847AA">
        <w:t xml:space="preserve">ualified </w:t>
      </w:r>
      <w:r w:rsidR="00877656" w:rsidRPr="007847AA">
        <w:t>i</w:t>
      </w:r>
      <w:r w:rsidR="00DE7359" w:rsidRPr="007847AA">
        <w:t xml:space="preserve">nspection </w:t>
      </w:r>
      <w:r w:rsidR="00877656" w:rsidRPr="007847AA">
        <w:t>i</w:t>
      </w:r>
      <w:r w:rsidR="00DE7359" w:rsidRPr="007847AA">
        <w:t>ndividual</w:t>
      </w:r>
      <w:r w:rsidR="001F30B1" w:rsidRPr="007847AA">
        <w:t xml:space="preserve"> </w:t>
      </w:r>
      <w:r w:rsidRPr="007847AA">
        <w:t>associated with the housing assistance program, including initial inspections</w:t>
      </w:r>
      <w:r w:rsidR="007A0EAD" w:rsidRPr="007847AA">
        <w:t xml:space="preserve"> and preparation of work write-ups, work specifications and cost estimates</w:t>
      </w:r>
      <w:r w:rsidRPr="007847AA">
        <w:t>; inspections for lead-based paint, asbestos, or termites; inspections or site evaluations for septic systems; and interim and final inspections.</w:t>
      </w:r>
      <w:r w:rsidR="00877656" w:rsidRPr="007847AA">
        <w:t xml:space="preserve"> </w:t>
      </w:r>
      <w:proofErr w:type="gramStart"/>
      <w:r w:rsidRPr="007847AA">
        <w:t>Such inspection</w:t>
      </w:r>
      <w:proofErr w:type="gramEnd"/>
      <w:r w:rsidRPr="007847AA">
        <w:t xml:space="preserve"> costs for each home are eligible for TxCDBG funding and are part of the total allowable project cost not to exceed $</w:t>
      </w:r>
      <w:r w:rsidR="00237415" w:rsidRPr="007847AA">
        <w:t>75</w:t>
      </w:r>
      <w:r w:rsidRPr="007847AA">
        <w:t>,000 for each home</w:t>
      </w:r>
      <w:r w:rsidR="001F30B1" w:rsidRPr="007847AA">
        <w:t xml:space="preserve">, </w:t>
      </w:r>
      <w:r w:rsidRPr="007847AA">
        <w:t>i.e.</w:t>
      </w:r>
      <w:r w:rsidR="007A2DDC" w:rsidRPr="007847AA">
        <w:t>,</w:t>
      </w:r>
      <w:r w:rsidR="00506BA4" w:rsidRPr="007847AA">
        <w:t xml:space="preserve"> total</w:t>
      </w:r>
      <w:r w:rsidRPr="007847AA">
        <w:t xml:space="preserve"> inspection</w:t>
      </w:r>
      <w:r w:rsidR="00506BA4" w:rsidRPr="007847AA">
        <w:t>,</w:t>
      </w:r>
      <w:r w:rsidR="007847AA" w:rsidRPr="007847AA">
        <w:t xml:space="preserve"> </w:t>
      </w:r>
      <w:r w:rsidRPr="007847AA">
        <w:t xml:space="preserve">construction </w:t>
      </w:r>
      <w:r w:rsidR="0033337F" w:rsidRPr="007847AA">
        <w:t>and</w:t>
      </w:r>
      <w:r w:rsidRPr="007847AA">
        <w:t xml:space="preserve"> acquisition costs may not exceed $</w:t>
      </w:r>
      <w:r w:rsidR="00237415" w:rsidRPr="007847AA">
        <w:t>75</w:t>
      </w:r>
      <w:r w:rsidRPr="007847AA">
        <w:t xml:space="preserve">,000. </w:t>
      </w:r>
    </w:p>
    <w:p w14:paraId="5923900E" w14:textId="77777777" w:rsidR="00DB7AAB" w:rsidRPr="007847AA" w:rsidRDefault="00DB7AAB" w:rsidP="008D64E2">
      <w:pPr>
        <w:jc w:val="both"/>
        <w:rPr>
          <w:rFonts w:cs="Arial"/>
          <w:szCs w:val="22"/>
        </w:rPr>
      </w:pPr>
    </w:p>
    <w:p w14:paraId="445A4BEB" w14:textId="77777777" w:rsidR="00DB7AAB" w:rsidRPr="007847AA" w:rsidRDefault="00DB7AAB" w:rsidP="008D64E2">
      <w:pPr>
        <w:pStyle w:val="1Arial11BODY"/>
        <w:spacing w:line="240" w:lineRule="auto"/>
        <w:rPr>
          <w:b/>
        </w:rPr>
      </w:pPr>
      <w:bookmarkStart w:id="20" w:name="_Toc7269212"/>
      <w:bookmarkStart w:id="21" w:name="_Toc37836182"/>
      <w:bookmarkStart w:id="22" w:name="_Toc38100302"/>
      <w:r w:rsidRPr="007847AA">
        <w:rPr>
          <w:b/>
        </w:rPr>
        <w:t>National Program Objective</w:t>
      </w:r>
      <w:bookmarkEnd w:id="20"/>
      <w:bookmarkEnd w:id="21"/>
      <w:bookmarkEnd w:id="22"/>
      <w:r w:rsidR="00EA452F" w:rsidRPr="007847AA">
        <w:rPr>
          <w:b/>
        </w:rPr>
        <w:t xml:space="preserve"> – </w:t>
      </w:r>
      <w:r w:rsidRPr="007847AA">
        <w:t xml:space="preserve">Grant Recipients undertaking housing rehabilitation activities must document how they have met the National </w:t>
      </w:r>
      <w:r w:rsidR="00D9452D" w:rsidRPr="007847AA">
        <w:t xml:space="preserve">Program </w:t>
      </w:r>
      <w:r w:rsidRPr="007847AA">
        <w:t>Objective specified in their application.</w:t>
      </w:r>
      <w:r w:rsidR="001F30B1" w:rsidRPr="007847AA">
        <w:t xml:space="preserve"> </w:t>
      </w:r>
      <w:r w:rsidRPr="007847AA">
        <w:t xml:space="preserve">The National </w:t>
      </w:r>
      <w:r w:rsidR="00D9452D" w:rsidRPr="007847AA">
        <w:t xml:space="preserve">Program </w:t>
      </w:r>
      <w:r w:rsidRPr="007847AA">
        <w:t>Objective is not met until funds have been expended and documentation has been completed.</w:t>
      </w:r>
    </w:p>
    <w:p w14:paraId="64F0B4D5" w14:textId="77777777" w:rsidR="0093288F" w:rsidRPr="007847AA" w:rsidRDefault="0093288F" w:rsidP="008D64E2">
      <w:pPr>
        <w:autoSpaceDE w:val="0"/>
        <w:autoSpaceDN w:val="0"/>
        <w:adjustRightInd w:val="0"/>
        <w:rPr>
          <w:rFonts w:cs="Arial"/>
          <w:b/>
          <w:bCs/>
        </w:rPr>
      </w:pPr>
    </w:p>
    <w:p w14:paraId="01564A91" w14:textId="77777777" w:rsidR="00DB7AAB" w:rsidRPr="007847AA" w:rsidRDefault="00DB7AAB" w:rsidP="008D64E2">
      <w:pPr>
        <w:pStyle w:val="Heading2"/>
      </w:pPr>
      <w:bookmarkStart w:id="23" w:name="_Toc453925538"/>
      <w:bookmarkStart w:id="24" w:name="_Toc453926065"/>
      <w:bookmarkStart w:id="25" w:name="_Toc97767048"/>
      <w:bookmarkStart w:id="26" w:name="_Toc171794646"/>
      <w:r w:rsidRPr="007847AA">
        <w:t>C.</w:t>
      </w:r>
      <w:r w:rsidR="003510A0" w:rsidRPr="007847AA">
        <w:t>1.3</w:t>
      </w:r>
      <w:r w:rsidRPr="007847AA">
        <w:t xml:space="preserve"> Ineligible Activities</w:t>
      </w:r>
      <w:bookmarkEnd w:id="23"/>
      <w:bookmarkEnd w:id="24"/>
      <w:bookmarkEnd w:id="25"/>
      <w:bookmarkEnd w:id="26"/>
    </w:p>
    <w:p w14:paraId="66774177" w14:textId="77777777" w:rsidR="00DB7AAB" w:rsidRPr="007847AA" w:rsidRDefault="00DB7AAB" w:rsidP="008D64E2">
      <w:pPr>
        <w:jc w:val="both"/>
        <w:rPr>
          <w:rFonts w:cs="Arial"/>
          <w:szCs w:val="22"/>
        </w:rPr>
      </w:pPr>
    </w:p>
    <w:p w14:paraId="08175331" w14:textId="77777777" w:rsidR="00DB7AAB" w:rsidRPr="007847AA" w:rsidRDefault="00406B71" w:rsidP="008D64E2">
      <w:pPr>
        <w:pStyle w:val="1Arial11BODY"/>
        <w:spacing w:line="240" w:lineRule="auto"/>
      </w:pPr>
      <w:r w:rsidRPr="007847AA">
        <w:t xml:space="preserve">Costs generally ineligible as part of a housing rehabilitation activity include the following: </w:t>
      </w:r>
    </w:p>
    <w:p w14:paraId="01DF3F65" w14:textId="77777777" w:rsidR="00DB7AAB" w:rsidRPr="007847AA" w:rsidRDefault="007A2DDC" w:rsidP="008D64E2">
      <w:pPr>
        <w:pStyle w:val="2BULLETArial11"/>
        <w:spacing w:line="240" w:lineRule="auto"/>
      </w:pPr>
      <w:r w:rsidRPr="007847AA">
        <w:t>E</w:t>
      </w:r>
      <w:r w:rsidR="00DB7AAB" w:rsidRPr="007847AA">
        <w:t>ngineering services</w:t>
      </w:r>
      <w:r w:rsidR="00406B71" w:rsidRPr="007847AA">
        <w:t>, which</w:t>
      </w:r>
      <w:r w:rsidR="00DB7AAB" w:rsidRPr="007847AA">
        <w:t xml:space="preserve"> are generally not appropriate or necessary for housing </w:t>
      </w:r>
      <w:proofErr w:type="gramStart"/>
      <w:r w:rsidR="00DB7AAB" w:rsidRPr="007847AA">
        <w:t>rehabilitation</w:t>
      </w:r>
      <w:r w:rsidR="00406B71" w:rsidRPr="007847AA">
        <w:t>;</w:t>
      </w:r>
      <w:proofErr w:type="gramEnd"/>
      <w:r w:rsidR="00DB7AAB" w:rsidRPr="007847AA">
        <w:t xml:space="preserve"> </w:t>
      </w:r>
    </w:p>
    <w:p w14:paraId="6C8FA8D5" w14:textId="77777777" w:rsidR="00F90985" w:rsidRPr="007847AA" w:rsidRDefault="00F90985" w:rsidP="008D64E2">
      <w:pPr>
        <w:pStyle w:val="2BULLETArial11"/>
        <w:spacing w:line="240" w:lineRule="auto"/>
      </w:pPr>
      <w:r w:rsidRPr="007847AA">
        <w:t xml:space="preserve">Improvements to secondary residences for a </w:t>
      </w:r>
      <w:proofErr w:type="gramStart"/>
      <w:r w:rsidRPr="007847AA">
        <w:t>household;</w:t>
      </w:r>
      <w:proofErr w:type="gramEnd"/>
    </w:p>
    <w:p w14:paraId="5E4CD47D" w14:textId="77777777" w:rsidR="00DB7AAB" w:rsidRPr="007847AA" w:rsidRDefault="007A2DDC" w:rsidP="008D64E2">
      <w:pPr>
        <w:pStyle w:val="2BULLETArial11"/>
        <w:spacing w:line="240" w:lineRule="auto"/>
      </w:pPr>
      <w:r w:rsidRPr="007847AA">
        <w:t>I</w:t>
      </w:r>
      <w:r w:rsidR="00DB7AAB" w:rsidRPr="007847AA">
        <w:t>mprovements to detached structures</w:t>
      </w:r>
      <w:r w:rsidR="00406B71" w:rsidRPr="007847AA">
        <w:t xml:space="preserve"> that are not primary living </w:t>
      </w:r>
      <w:proofErr w:type="gramStart"/>
      <w:r w:rsidR="00406B71" w:rsidRPr="007847AA">
        <w:t>quarters;</w:t>
      </w:r>
      <w:proofErr w:type="gramEnd"/>
    </w:p>
    <w:p w14:paraId="4480998D" w14:textId="77777777" w:rsidR="005E0E54" w:rsidRPr="007847AA" w:rsidRDefault="005E0E54" w:rsidP="008D64E2">
      <w:pPr>
        <w:pStyle w:val="2BULLETArial11"/>
        <w:spacing w:line="240" w:lineRule="auto"/>
      </w:pPr>
      <w:r w:rsidRPr="007847AA">
        <w:t xml:space="preserve">Improvements determined to be luxury items by TDA </w:t>
      </w:r>
      <w:proofErr w:type="gramStart"/>
      <w:r w:rsidRPr="007847AA">
        <w:t>staff;</w:t>
      </w:r>
      <w:proofErr w:type="gramEnd"/>
    </w:p>
    <w:p w14:paraId="148F7D68" w14:textId="77777777" w:rsidR="00DB7AAB" w:rsidRPr="007847AA" w:rsidRDefault="007A2DDC" w:rsidP="008D64E2">
      <w:pPr>
        <w:pStyle w:val="2BULLETArial11"/>
        <w:spacing w:line="240" w:lineRule="auto"/>
      </w:pPr>
      <w:r w:rsidRPr="007847AA">
        <w:t>R</w:t>
      </w:r>
      <w:r w:rsidR="00DB7AAB" w:rsidRPr="007847AA">
        <w:t>eplacing manufactured housing units</w:t>
      </w:r>
      <w:r w:rsidR="00181C5F" w:rsidRPr="007847AA">
        <w:t xml:space="preserve">, </w:t>
      </w:r>
      <w:r w:rsidR="00DB7AAB" w:rsidRPr="007847AA">
        <w:t>or mobile home units</w:t>
      </w:r>
      <w:r w:rsidR="00181C5F" w:rsidRPr="007847AA">
        <w:t xml:space="preserve">, </w:t>
      </w:r>
      <w:r w:rsidR="00DB7AAB" w:rsidRPr="007847AA">
        <w:t>with stick-built units</w:t>
      </w:r>
      <w:r w:rsidR="00406B71" w:rsidRPr="007847AA">
        <w:t xml:space="preserve"> - t</w:t>
      </w:r>
      <w:r w:rsidR="00DB7AAB" w:rsidRPr="007847AA">
        <w:t>here shall be no waivers issued concerning this policy</w:t>
      </w:r>
      <w:r w:rsidR="00406B71" w:rsidRPr="007847AA">
        <w:t>; and</w:t>
      </w:r>
    </w:p>
    <w:p w14:paraId="5FCAC7AF" w14:textId="77777777" w:rsidR="00DB7AAB" w:rsidRPr="007847AA" w:rsidRDefault="007A2DDC" w:rsidP="008D64E2">
      <w:pPr>
        <w:pStyle w:val="2BULLETArial11"/>
        <w:spacing w:line="240" w:lineRule="auto"/>
      </w:pPr>
      <w:r w:rsidRPr="007847AA">
        <w:t>R</w:t>
      </w:r>
      <w:r w:rsidR="00DB7AAB" w:rsidRPr="007847AA">
        <w:t>elocation assistance</w:t>
      </w:r>
      <w:r w:rsidRPr="007847AA">
        <w:t xml:space="preserve"> – </w:t>
      </w:r>
      <w:r w:rsidR="00DB7AAB" w:rsidRPr="007847AA">
        <w:t xml:space="preserve">participation in the </w:t>
      </w:r>
      <w:r w:rsidR="00877656" w:rsidRPr="007847AA">
        <w:t>h</w:t>
      </w:r>
      <w:r w:rsidR="00DB7AAB" w:rsidRPr="007847AA">
        <w:t xml:space="preserve">ousing </w:t>
      </w:r>
      <w:r w:rsidR="00877656" w:rsidRPr="007847AA">
        <w:t>a</w:t>
      </w:r>
      <w:r w:rsidR="00DB7AAB" w:rsidRPr="007847AA">
        <w:t xml:space="preserve">ssistance </w:t>
      </w:r>
      <w:r w:rsidR="00877656" w:rsidRPr="007847AA">
        <w:t>p</w:t>
      </w:r>
      <w:r w:rsidR="00DB7AAB" w:rsidRPr="007847AA">
        <w:t>rogram by the assisted homeowner is voluntary</w:t>
      </w:r>
      <w:r w:rsidR="003510A0" w:rsidRPr="007847AA">
        <w:t xml:space="preserve"> and requested by the homeowner</w:t>
      </w:r>
      <w:r w:rsidR="00DB7AAB" w:rsidRPr="007847AA">
        <w:t xml:space="preserve">. </w:t>
      </w:r>
    </w:p>
    <w:p w14:paraId="015B7AAA" w14:textId="0350005C" w:rsidR="001C4661" w:rsidRPr="007847AA" w:rsidRDefault="001C4661" w:rsidP="008D64E2">
      <w:pPr>
        <w:jc w:val="both"/>
        <w:rPr>
          <w:rFonts w:cs="Arial"/>
          <w:szCs w:val="22"/>
        </w:rPr>
      </w:pPr>
    </w:p>
    <w:p w14:paraId="440DE0E2" w14:textId="77777777" w:rsidR="00B26B01" w:rsidRPr="007847AA" w:rsidRDefault="00B26B01" w:rsidP="008D64E2">
      <w:pPr>
        <w:pStyle w:val="Heading2"/>
      </w:pPr>
      <w:bookmarkStart w:id="27" w:name="_Toc97767049"/>
      <w:bookmarkStart w:id="28" w:name="_Toc171794647"/>
      <w:r w:rsidRPr="007847AA">
        <w:t>C</w:t>
      </w:r>
      <w:r w:rsidR="003271D4" w:rsidRPr="007847AA">
        <w:t>.</w:t>
      </w:r>
      <w:r w:rsidRPr="007847AA">
        <w:t xml:space="preserve">1.4 Forgivable </w:t>
      </w:r>
      <w:r w:rsidR="007A2DDC" w:rsidRPr="007847AA">
        <w:t>L</w:t>
      </w:r>
      <w:r w:rsidRPr="007847AA">
        <w:t>oans</w:t>
      </w:r>
      <w:bookmarkEnd w:id="27"/>
      <w:bookmarkEnd w:id="28"/>
    </w:p>
    <w:p w14:paraId="63790B9D" w14:textId="77777777" w:rsidR="007A2DDC" w:rsidRPr="007847AA" w:rsidRDefault="007A2DDC" w:rsidP="008D64E2">
      <w:pPr>
        <w:pStyle w:val="1Arial11BODY"/>
        <w:spacing w:line="240" w:lineRule="auto"/>
      </w:pPr>
    </w:p>
    <w:p w14:paraId="35BF6F89" w14:textId="77777777" w:rsidR="00B26B01" w:rsidRPr="007847AA" w:rsidRDefault="00B26B01" w:rsidP="008D64E2">
      <w:pPr>
        <w:pStyle w:val="1Arial11BODY"/>
        <w:spacing w:line="240" w:lineRule="auto"/>
      </w:pPr>
      <w:r w:rsidRPr="007847AA">
        <w:t>In the TxCDBG program, housing rehabilitation activities must be carried out through five-year forgivable loans to assist housing for low- and moderate-income persons. These loans can be used to rehabilitate housing units.</w:t>
      </w:r>
      <w:r w:rsidR="007A2DDC" w:rsidRPr="007847AA">
        <w:t xml:space="preserve"> </w:t>
      </w:r>
      <w:r w:rsidRPr="007847AA">
        <w:t>The Grant Recipient must provide homeowners information that clearly explains the forgivable loan process and requirements.</w:t>
      </w:r>
    </w:p>
    <w:p w14:paraId="0C26AB05" w14:textId="77777777" w:rsidR="00B26B01" w:rsidRPr="007847AA" w:rsidRDefault="00B26B01" w:rsidP="008D64E2">
      <w:pPr>
        <w:pStyle w:val="1Arial11BODY"/>
        <w:spacing w:line="240" w:lineRule="auto"/>
      </w:pPr>
    </w:p>
    <w:p w14:paraId="427BA6E6" w14:textId="77777777" w:rsidR="00B26B01" w:rsidRPr="007847AA" w:rsidRDefault="00B26B01" w:rsidP="008D64E2">
      <w:pPr>
        <w:pStyle w:val="1Arial11BODY"/>
        <w:spacing w:line="240" w:lineRule="auto"/>
      </w:pPr>
      <w:r w:rsidRPr="007847AA">
        <w:t xml:space="preserve">The forgivable loan involves a </w:t>
      </w:r>
      <w:proofErr w:type="gramStart"/>
      <w:r w:rsidRPr="007847AA">
        <w:t>lien</w:t>
      </w:r>
      <w:proofErr w:type="gramEnd"/>
      <w:r w:rsidRPr="007847AA">
        <w:t xml:space="preserve"> requiring repayment of the loan if the homeowner sells, transfers or vacates ownership of the rehabilitated home for any single period that exceeds thirty days during the five-year forgivable loan period. The Grant Recipient shall record the lien associated with the five-year forgivable loan. Under no circumstances may construction work commence prior to a fully executed loan agreement.  </w:t>
      </w:r>
    </w:p>
    <w:p w14:paraId="1CBE955B" w14:textId="77777777" w:rsidR="007A2DDC" w:rsidRPr="007847AA" w:rsidRDefault="007A2DDC" w:rsidP="008D64E2">
      <w:pPr>
        <w:pStyle w:val="1Arial11BODY"/>
        <w:spacing w:line="240" w:lineRule="auto"/>
      </w:pPr>
    </w:p>
    <w:p w14:paraId="7D7E8F3E" w14:textId="77777777" w:rsidR="004E4444" w:rsidRPr="007847AA" w:rsidRDefault="00B26B01" w:rsidP="008D64E2">
      <w:pPr>
        <w:pStyle w:val="1Arial11BODY"/>
        <w:spacing w:line="240" w:lineRule="auto"/>
      </w:pPr>
      <w:r w:rsidRPr="007847AA">
        <w:t xml:space="preserve">The loan is forgiven at a pro-rated rate of 1.67% per month. Failure to comply with terms will result in the Grant Recipient’s recapture of any outstanding debt obligation. </w:t>
      </w:r>
    </w:p>
    <w:p w14:paraId="5D844709" w14:textId="77777777" w:rsidR="002A566E" w:rsidRPr="007847AA" w:rsidRDefault="002A566E" w:rsidP="008D64E2">
      <w:pPr>
        <w:pStyle w:val="1Arial11BODY"/>
        <w:spacing w:line="240" w:lineRule="auto"/>
        <w:rPr>
          <w:b/>
          <w:bCs/>
        </w:rPr>
      </w:pPr>
    </w:p>
    <w:p w14:paraId="567488B1" w14:textId="225622DD" w:rsidR="00B26B01" w:rsidRPr="007847AA" w:rsidRDefault="00B26B01" w:rsidP="008D64E2">
      <w:pPr>
        <w:pStyle w:val="1Arial11BODY"/>
        <w:spacing w:line="240" w:lineRule="auto"/>
      </w:pPr>
      <w:r w:rsidRPr="007847AA">
        <w:rPr>
          <w:b/>
          <w:bCs/>
        </w:rPr>
        <w:t>EXAMPLE</w:t>
      </w:r>
      <w:r w:rsidRPr="007847AA">
        <w:t>: If the homeowner’s total debt obligation is $50,000 and the homeowner sells the home 36 months after completion of the rehabilitation, then at that time, $30,000 of the loan will have been forgiven and $20,000 remain outstanding, which will be recaptured and returned to TDA when the home is sold</w:t>
      </w:r>
      <w:r w:rsidR="007A2DDC" w:rsidRPr="007847AA">
        <w:t>.</w:t>
      </w:r>
    </w:p>
    <w:p w14:paraId="690557B5" w14:textId="77777777" w:rsidR="00DB7AAB" w:rsidRPr="007847AA" w:rsidRDefault="00DB7AAB" w:rsidP="008D64E2">
      <w:pPr>
        <w:pStyle w:val="Heading2"/>
      </w:pPr>
      <w:bookmarkStart w:id="29" w:name="_Toc453925541"/>
      <w:bookmarkStart w:id="30" w:name="_Toc453926068"/>
      <w:bookmarkStart w:id="31" w:name="_Toc97767050"/>
      <w:bookmarkStart w:id="32" w:name="_Toc171794648"/>
      <w:r w:rsidRPr="007847AA">
        <w:t>C.</w:t>
      </w:r>
      <w:r w:rsidR="000809AC" w:rsidRPr="007847AA">
        <w:t>1.</w:t>
      </w:r>
      <w:r w:rsidR="00B26B01" w:rsidRPr="007847AA">
        <w:t>5</w:t>
      </w:r>
      <w:r w:rsidRPr="007847AA">
        <w:t xml:space="preserve"> Costs</w:t>
      </w:r>
      <w:bookmarkEnd w:id="29"/>
      <w:bookmarkEnd w:id="30"/>
      <w:bookmarkEnd w:id="31"/>
      <w:bookmarkEnd w:id="32"/>
    </w:p>
    <w:p w14:paraId="0D02AC0D" w14:textId="77777777" w:rsidR="007F048F" w:rsidRPr="007847AA" w:rsidRDefault="007F048F" w:rsidP="008D64E2">
      <w:pPr>
        <w:pStyle w:val="1Arial11BODY"/>
        <w:spacing w:line="240" w:lineRule="auto"/>
      </w:pPr>
    </w:p>
    <w:p w14:paraId="3A8F146A" w14:textId="3B9417F1" w:rsidR="001C4661" w:rsidRPr="007847AA" w:rsidRDefault="0043328B" w:rsidP="008D64E2">
      <w:pPr>
        <w:pStyle w:val="1Arial11BODY"/>
        <w:spacing w:line="240" w:lineRule="auto"/>
      </w:pPr>
      <w:r w:rsidRPr="007847AA">
        <w:t xml:space="preserve">TxCDBG investment shall </w:t>
      </w:r>
      <w:proofErr w:type="gramStart"/>
      <w:r w:rsidRPr="007847AA">
        <w:t>not  exceed</w:t>
      </w:r>
      <w:proofErr w:type="gramEnd"/>
      <w:r w:rsidRPr="007847AA">
        <w:t xml:space="preserve"> $</w:t>
      </w:r>
      <w:r w:rsidR="00237415" w:rsidRPr="00BE69D8">
        <w:t>75</w:t>
      </w:r>
      <w:r w:rsidRPr="00BE69D8">
        <w:t xml:space="preserve">,000 </w:t>
      </w:r>
      <w:r w:rsidRPr="007847AA">
        <w:t>of eligible costs for each house rehabilitated.</w:t>
      </w:r>
      <w:r w:rsidR="00F35C1D" w:rsidRPr="007847AA">
        <w:t xml:space="preserve"> </w:t>
      </w:r>
      <w:r w:rsidR="001C4661" w:rsidRPr="007847AA">
        <w:t>If additional funding is necessary to complete the housing rehabilitation project, the Grant Recipient may leverage funds from non-profit organizations or other sources. This funding must be committed by resolution and supported by the funding award notification and/or other documentation</w:t>
      </w:r>
      <w:r w:rsidR="00721B44" w:rsidRPr="007847AA">
        <w:t xml:space="preserve"> </w:t>
      </w:r>
      <w:r w:rsidR="001C4661" w:rsidRPr="007847AA">
        <w:t xml:space="preserve">and approved by TDA prior to executing a construction contract under this program. </w:t>
      </w:r>
    </w:p>
    <w:p w14:paraId="1E0EE7FF" w14:textId="77777777" w:rsidR="0043328B" w:rsidRPr="007847AA" w:rsidRDefault="0043328B" w:rsidP="008D64E2">
      <w:pPr>
        <w:pStyle w:val="1Arial11BODY"/>
        <w:spacing w:line="240" w:lineRule="auto"/>
      </w:pPr>
    </w:p>
    <w:p w14:paraId="3CE6F209" w14:textId="77777777" w:rsidR="00DB7AAB" w:rsidRPr="007847AA" w:rsidRDefault="00DB7AAB" w:rsidP="008D64E2">
      <w:pPr>
        <w:pStyle w:val="1Arial11BODY"/>
        <w:spacing w:line="240" w:lineRule="auto"/>
      </w:pPr>
      <w:r w:rsidRPr="007847AA">
        <w:t xml:space="preserve">Eligible </w:t>
      </w:r>
      <w:r w:rsidR="000E262B" w:rsidRPr="007847AA">
        <w:t xml:space="preserve">housing rehabilitation </w:t>
      </w:r>
      <w:r w:rsidR="003510A0" w:rsidRPr="007847AA">
        <w:t>costs</w:t>
      </w:r>
      <w:r w:rsidR="000E262B" w:rsidRPr="007847AA">
        <w:t xml:space="preserve"> </w:t>
      </w:r>
      <w:r w:rsidRPr="007847AA">
        <w:t xml:space="preserve">include but are not limited to the following: </w:t>
      </w:r>
    </w:p>
    <w:p w14:paraId="02E0194B" w14:textId="77777777" w:rsidR="001C4661" w:rsidRPr="007847AA" w:rsidRDefault="000E262B" w:rsidP="008D64E2">
      <w:pPr>
        <w:pStyle w:val="2BULLETArial11"/>
        <w:spacing w:line="240" w:lineRule="auto"/>
      </w:pPr>
      <w:r w:rsidRPr="007847AA">
        <w:t xml:space="preserve">Labor and </w:t>
      </w:r>
      <w:r w:rsidR="00784247" w:rsidRPr="007847AA">
        <w:t>m</w:t>
      </w:r>
      <w:r w:rsidRPr="007847AA">
        <w:t>aterials</w:t>
      </w:r>
      <w:r w:rsidR="0043328B" w:rsidRPr="007847AA">
        <w:t xml:space="preserve"> </w:t>
      </w:r>
      <w:r w:rsidR="003510A0" w:rsidRPr="007847AA">
        <w:t xml:space="preserve">for </w:t>
      </w:r>
      <w:r w:rsidR="00784247" w:rsidRPr="007847AA">
        <w:t>c</w:t>
      </w:r>
      <w:r w:rsidR="0043328B" w:rsidRPr="007847AA">
        <w:t>onstruction</w:t>
      </w:r>
    </w:p>
    <w:p w14:paraId="6A36F370" w14:textId="77777777" w:rsidR="00866678" w:rsidRPr="007847AA" w:rsidRDefault="00866678" w:rsidP="008D64E2">
      <w:pPr>
        <w:pStyle w:val="2BULLETArial11"/>
        <w:spacing w:line="240" w:lineRule="auto"/>
      </w:pPr>
      <w:r w:rsidRPr="007847AA">
        <w:t>Inspections</w:t>
      </w:r>
      <w:r w:rsidR="00784247" w:rsidRPr="007847AA">
        <w:t xml:space="preserve"> </w:t>
      </w:r>
      <w:r w:rsidR="003510A0" w:rsidRPr="007847AA">
        <w:t>(</w:t>
      </w:r>
      <w:r w:rsidR="00784247" w:rsidRPr="007847AA">
        <w:t>must be c</w:t>
      </w:r>
      <w:r w:rsidRPr="007847AA">
        <w:t xml:space="preserve">onducted only by a </w:t>
      </w:r>
      <w:r w:rsidR="00784247" w:rsidRPr="007847AA">
        <w:t>c</w:t>
      </w:r>
      <w:r w:rsidRPr="007847AA">
        <w:t xml:space="preserve">ertified </w:t>
      </w:r>
      <w:r w:rsidR="00784247" w:rsidRPr="007847AA">
        <w:t>p</w:t>
      </w:r>
      <w:r w:rsidRPr="007847AA">
        <w:t xml:space="preserve">rofessional </w:t>
      </w:r>
      <w:r w:rsidR="00784247" w:rsidRPr="007847AA">
        <w:t>i</w:t>
      </w:r>
      <w:r w:rsidRPr="007847AA">
        <w:t xml:space="preserve">nspector or a </w:t>
      </w:r>
      <w:r w:rsidR="00784247" w:rsidRPr="007847AA">
        <w:t>q</w:t>
      </w:r>
      <w:r w:rsidRPr="007847AA">
        <w:t xml:space="preserve">ualified </w:t>
      </w:r>
      <w:r w:rsidR="00784247" w:rsidRPr="007847AA">
        <w:t>i</w:t>
      </w:r>
      <w:r w:rsidRPr="007847AA">
        <w:t xml:space="preserve">nspection </w:t>
      </w:r>
      <w:r w:rsidR="00784247" w:rsidRPr="007847AA">
        <w:t>i</w:t>
      </w:r>
      <w:r w:rsidRPr="007847AA">
        <w:t>ndividual</w:t>
      </w:r>
      <w:r w:rsidR="003510A0" w:rsidRPr="007847AA">
        <w:t>)</w:t>
      </w:r>
      <w:r w:rsidR="00784247" w:rsidRPr="007847AA">
        <w:t>:</w:t>
      </w:r>
    </w:p>
    <w:p w14:paraId="5925FB6F" w14:textId="77777777" w:rsidR="00866678" w:rsidRPr="007847AA" w:rsidRDefault="00866678" w:rsidP="008D64E2">
      <w:pPr>
        <w:pStyle w:val="2BULLETArial11"/>
        <w:numPr>
          <w:ilvl w:val="0"/>
          <w:numId w:val="8"/>
        </w:numPr>
        <w:spacing w:line="240" w:lineRule="auto"/>
        <w:ind w:left="1080"/>
      </w:pPr>
      <w:r w:rsidRPr="007847AA">
        <w:t xml:space="preserve">Initial inspections </w:t>
      </w:r>
    </w:p>
    <w:p w14:paraId="212BC9D0" w14:textId="77777777" w:rsidR="00866678" w:rsidRPr="007847AA" w:rsidRDefault="00866678" w:rsidP="008D64E2">
      <w:pPr>
        <w:pStyle w:val="2BULLETArial11"/>
        <w:numPr>
          <w:ilvl w:val="0"/>
          <w:numId w:val="8"/>
        </w:numPr>
        <w:spacing w:line="240" w:lineRule="auto"/>
        <w:ind w:left="1080"/>
      </w:pPr>
      <w:r w:rsidRPr="007847AA">
        <w:t>Preparation of work write-ups, work specifications, and cost estimates</w:t>
      </w:r>
    </w:p>
    <w:p w14:paraId="27E9E70A" w14:textId="77777777" w:rsidR="003510A0" w:rsidRPr="007847AA" w:rsidRDefault="00866678" w:rsidP="008D64E2">
      <w:pPr>
        <w:pStyle w:val="2BULLETArial11"/>
        <w:numPr>
          <w:ilvl w:val="0"/>
          <w:numId w:val="8"/>
        </w:numPr>
        <w:spacing w:line="240" w:lineRule="auto"/>
        <w:ind w:left="1080"/>
      </w:pPr>
      <w:r w:rsidRPr="007847AA">
        <w:t xml:space="preserve">Inspections for lead-based paint, asbestos, </w:t>
      </w:r>
      <w:proofErr w:type="gramStart"/>
      <w:r w:rsidRPr="007847AA">
        <w:t>termites;</w:t>
      </w:r>
      <w:proofErr w:type="gramEnd"/>
      <w:r w:rsidRPr="007847AA">
        <w:t xml:space="preserve"> </w:t>
      </w:r>
    </w:p>
    <w:p w14:paraId="53512021" w14:textId="6BD787D8" w:rsidR="00866678" w:rsidRPr="007847AA" w:rsidRDefault="004E4444" w:rsidP="008D64E2">
      <w:pPr>
        <w:pStyle w:val="2BULLETArial11"/>
        <w:numPr>
          <w:ilvl w:val="0"/>
          <w:numId w:val="8"/>
        </w:numPr>
        <w:spacing w:line="240" w:lineRule="auto"/>
        <w:ind w:left="1080"/>
      </w:pPr>
      <w:r w:rsidRPr="007847AA">
        <w:t>I</w:t>
      </w:r>
      <w:r w:rsidR="00866678" w:rsidRPr="007847AA">
        <w:t xml:space="preserve">nspections or site evaluations for septic systems </w:t>
      </w:r>
    </w:p>
    <w:p w14:paraId="6A4A865A" w14:textId="77777777" w:rsidR="0041526C" w:rsidRPr="007847AA" w:rsidRDefault="00866678" w:rsidP="008D64E2">
      <w:pPr>
        <w:pStyle w:val="2BULLETArial11"/>
        <w:numPr>
          <w:ilvl w:val="0"/>
          <w:numId w:val="8"/>
        </w:numPr>
        <w:spacing w:line="240" w:lineRule="auto"/>
        <w:ind w:left="1080"/>
      </w:pPr>
      <w:r w:rsidRPr="007847AA">
        <w:t>Interim and final inspections by the construction inspect</w:t>
      </w:r>
      <w:r w:rsidR="008D7B31" w:rsidRPr="007847AA">
        <w:t>or</w:t>
      </w:r>
    </w:p>
    <w:p w14:paraId="481107E8" w14:textId="77777777" w:rsidR="000E505D" w:rsidRPr="007847AA" w:rsidRDefault="000E505D" w:rsidP="008D64E2">
      <w:pPr>
        <w:pStyle w:val="2BULLETArial11"/>
        <w:spacing w:line="240" w:lineRule="auto"/>
      </w:pPr>
      <w:r w:rsidRPr="007847AA">
        <w:t>Lead-based paint abatement</w:t>
      </w:r>
    </w:p>
    <w:p w14:paraId="5069279F" w14:textId="77777777" w:rsidR="00DB7AAB" w:rsidRPr="007847AA" w:rsidRDefault="00DB7AAB" w:rsidP="008D64E2">
      <w:pPr>
        <w:pStyle w:val="2BULLETArial11"/>
        <w:spacing w:line="240" w:lineRule="auto"/>
      </w:pPr>
      <w:r w:rsidRPr="007847AA">
        <w:t xml:space="preserve">Financing of </w:t>
      </w:r>
      <w:r w:rsidR="00784247" w:rsidRPr="007847AA">
        <w:t>f</w:t>
      </w:r>
      <w:r w:rsidRPr="007847AA">
        <w:t xml:space="preserve">orgivable </w:t>
      </w:r>
      <w:r w:rsidR="00784247" w:rsidRPr="007847AA">
        <w:t>l</w:t>
      </w:r>
      <w:r w:rsidRPr="007847AA">
        <w:t>oan:</w:t>
      </w:r>
    </w:p>
    <w:p w14:paraId="6D21DE85" w14:textId="77777777" w:rsidR="00DB7AAB" w:rsidRPr="007847AA" w:rsidRDefault="00DB7AAB" w:rsidP="008D64E2">
      <w:pPr>
        <w:pStyle w:val="2BULLETArial11"/>
        <w:numPr>
          <w:ilvl w:val="0"/>
          <w:numId w:val="9"/>
        </w:numPr>
        <w:spacing w:line="240" w:lineRule="auto"/>
        <w:ind w:left="1080"/>
      </w:pPr>
      <w:r w:rsidRPr="007847AA">
        <w:t>Financing fees</w:t>
      </w:r>
    </w:p>
    <w:p w14:paraId="47627366" w14:textId="77777777" w:rsidR="00DB7AAB" w:rsidRPr="007847AA" w:rsidRDefault="00DB7AAB" w:rsidP="008D64E2">
      <w:pPr>
        <w:pStyle w:val="2BULLETArial11"/>
        <w:numPr>
          <w:ilvl w:val="0"/>
          <w:numId w:val="9"/>
        </w:numPr>
        <w:spacing w:line="240" w:lineRule="auto"/>
        <w:ind w:left="1080"/>
      </w:pPr>
      <w:r w:rsidRPr="007847AA">
        <w:t>Credit reports</w:t>
      </w:r>
    </w:p>
    <w:p w14:paraId="26F1FD3A" w14:textId="77777777" w:rsidR="00DB7AAB" w:rsidRPr="007847AA" w:rsidRDefault="00DB7AAB" w:rsidP="008D64E2">
      <w:pPr>
        <w:pStyle w:val="2BULLETArial11"/>
        <w:numPr>
          <w:ilvl w:val="0"/>
          <w:numId w:val="9"/>
        </w:numPr>
        <w:spacing w:line="240" w:lineRule="auto"/>
        <w:ind w:left="1080"/>
      </w:pPr>
      <w:r w:rsidRPr="007847AA">
        <w:t>Title binders and insurance</w:t>
      </w:r>
    </w:p>
    <w:p w14:paraId="2C8C6680" w14:textId="77777777" w:rsidR="00DB7AAB" w:rsidRPr="007847AA" w:rsidRDefault="00DB7AAB" w:rsidP="008D64E2">
      <w:pPr>
        <w:pStyle w:val="2BULLETArial11"/>
        <w:numPr>
          <w:ilvl w:val="0"/>
          <w:numId w:val="9"/>
        </w:numPr>
        <w:spacing w:line="240" w:lineRule="auto"/>
        <w:ind w:left="1080"/>
      </w:pPr>
      <w:r w:rsidRPr="007847AA">
        <w:t>Recordation fees, transaction taxes</w:t>
      </w:r>
    </w:p>
    <w:p w14:paraId="2144FA78" w14:textId="77777777" w:rsidR="00DB7AAB" w:rsidRPr="007847AA" w:rsidRDefault="00DB7AAB" w:rsidP="008D64E2">
      <w:pPr>
        <w:pStyle w:val="2BULLETArial11"/>
        <w:numPr>
          <w:ilvl w:val="0"/>
          <w:numId w:val="9"/>
        </w:numPr>
        <w:spacing w:line="240" w:lineRule="auto"/>
        <w:ind w:left="1080"/>
      </w:pPr>
      <w:r w:rsidRPr="007847AA">
        <w:t>Legal and accounting fees</w:t>
      </w:r>
    </w:p>
    <w:p w14:paraId="6E498962" w14:textId="77777777" w:rsidR="00DB7AAB" w:rsidRPr="007847AA" w:rsidRDefault="00DB7AAB" w:rsidP="008D64E2">
      <w:pPr>
        <w:pStyle w:val="2BULLETArial11"/>
        <w:numPr>
          <w:ilvl w:val="0"/>
          <w:numId w:val="9"/>
        </w:numPr>
        <w:spacing w:line="240" w:lineRule="auto"/>
        <w:ind w:left="1080"/>
      </w:pPr>
      <w:r w:rsidRPr="007847AA">
        <w:t>Appraisals</w:t>
      </w:r>
    </w:p>
    <w:p w14:paraId="162872DC" w14:textId="77777777" w:rsidR="00DB7AAB" w:rsidRPr="007847AA" w:rsidRDefault="00DB7AAB" w:rsidP="008D64E2">
      <w:pPr>
        <w:pStyle w:val="2BULLETArial11"/>
        <w:spacing w:line="240" w:lineRule="auto"/>
      </w:pPr>
      <w:r w:rsidRPr="007847AA">
        <w:t>Architectural or other professional services required to prepare plans, drawings or specifications directly attributable to a particular project</w:t>
      </w:r>
      <w:r w:rsidR="00F35C1D" w:rsidRPr="007847AA">
        <w:t>—</w:t>
      </w:r>
      <w:r w:rsidRPr="007847AA">
        <w:t>these costs are not usually necessary for housing rehabilitation and the need for such professional services must be requested and approved by TDA.</w:t>
      </w:r>
    </w:p>
    <w:p w14:paraId="28CB17F2" w14:textId="77777777" w:rsidR="001002E9" w:rsidRPr="007847AA" w:rsidRDefault="001002E9" w:rsidP="008D64E2">
      <w:pPr>
        <w:ind w:left="387"/>
        <w:jc w:val="both"/>
        <w:rPr>
          <w:rFonts w:cs="Arial"/>
          <w:szCs w:val="22"/>
        </w:rPr>
      </w:pPr>
    </w:p>
    <w:p w14:paraId="12627755" w14:textId="4FADECA8" w:rsidR="005E59DD" w:rsidRPr="007847AA" w:rsidRDefault="00DB7AAB" w:rsidP="008D64E2">
      <w:pPr>
        <w:pStyle w:val="1Arial11BODY"/>
        <w:spacing w:line="240" w:lineRule="auto"/>
      </w:pPr>
      <w:r w:rsidRPr="007847AA">
        <w:t>Eligible administrative costs</w:t>
      </w:r>
      <w:r w:rsidR="000E262B" w:rsidRPr="007847AA">
        <w:t xml:space="preserve"> for the overall CDBG project include</w:t>
      </w:r>
      <w:r w:rsidR="002A566E" w:rsidRPr="007847AA">
        <w:t>:</w:t>
      </w:r>
    </w:p>
    <w:p w14:paraId="6688B83E" w14:textId="468360FB" w:rsidR="007A0EAD" w:rsidRPr="007847AA" w:rsidRDefault="002A566E" w:rsidP="008D64E2">
      <w:pPr>
        <w:numPr>
          <w:ilvl w:val="0"/>
          <w:numId w:val="2"/>
        </w:numPr>
        <w:jc w:val="both"/>
        <w:rPr>
          <w:rFonts w:cs="Arial"/>
          <w:szCs w:val="22"/>
        </w:rPr>
      </w:pPr>
      <w:r w:rsidRPr="007847AA">
        <w:rPr>
          <w:rFonts w:cs="Arial"/>
          <w:szCs w:val="22"/>
        </w:rPr>
        <w:t>S</w:t>
      </w:r>
      <w:r w:rsidR="00DB7AAB" w:rsidRPr="007847AA">
        <w:rPr>
          <w:rFonts w:cs="Arial"/>
          <w:szCs w:val="22"/>
        </w:rPr>
        <w:t>olicitation and review of applications for assistance</w:t>
      </w:r>
      <w:r w:rsidR="00721B44" w:rsidRPr="007847AA">
        <w:rPr>
          <w:rFonts w:cs="Arial"/>
          <w:szCs w:val="22"/>
        </w:rPr>
        <w:t>.</w:t>
      </w:r>
    </w:p>
    <w:p w14:paraId="2610FD7D" w14:textId="392C4C3C" w:rsidR="00DB7AAB" w:rsidRPr="007847AA" w:rsidRDefault="002A566E" w:rsidP="008D64E2">
      <w:pPr>
        <w:numPr>
          <w:ilvl w:val="0"/>
          <w:numId w:val="2"/>
        </w:numPr>
        <w:jc w:val="both"/>
        <w:rPr>
          <w:rFonts w:cs="Arial"/>
          <w:szCs w:val="22"/>
        </w:rPr>
      </w:pPr>
      <w:r w:rsidRPr="007847AA">
        <w:rPr>
          <w:rFonts w:cs="Arial"/>
          <w:szCs w:val="22"/>
        </w:rPr>
        <w:t>S</w:t>
      </w:r>
      <w:r w:rsidR="00DB7AAB" w:rsidRPr="007847AA">
        <w:rPr>
          <w:rFonts w:cs="Arial"/>
          <w:szCs w:val="22"/>
        </w:rPr>
        <w:t xml:space="preserve">ubmission of required reports for the TDA </w:t>
      </w:r>
      <w:r w:rsidR="00237889" w:rsidRPr="007847AA">
        <w:rPr>
          <w:rFonts w:cs="Arial"/>
          <w:szCs w:val="22"/>
        </w:rPr>
        <w:t>grant</w:t>
      </w:r>
      <w:r w:rsidR="00DB7AAB" w:rsidRPr="007847AA">
        <w:rPr>
          <w:rFonts w:cs="Arial"/>
          <w:szCs w:val="22"/>
        </w:rPr>
        <w:t xml:space="preserve">, </w:t>
      </w:r>
      <w:r w:rsidR="00CE2FAC" w:rsidRPr="007847AA">
        <w:rPr>
          <w:rFonts w:cs="Arial"/>
          <w:szCs w:val="22"/>
        </w:rPr>
        <w:t>as described in Section A of this Implementation Manual</w:t>
      </w:r>
      <w:r w:rsidR="00721B44" w:rsidRPr="007847AA">
        <w:rPr>
          <w:rFonts w:cs="Arial"/>
          <w:szCs w:val="22"/>
        </w:rPr>
        <w:t>.</w:t>
      </w:r>
    </w:p>
    <w:p w14:paraId="74D96B84" w14:textId="73756579" w:rsidR="007A0EAD" w:rsidRPr="007847AA" w:rsidRDefault="002A566E" w:rsidP="008D64E2">
      <w:pPr>
        <w:numPr>
          <w:ilvl w:val="0"/>
          <w:numId w:val="2"/>
        </w:numPr>
        <w:jc w:val="both"/>
        <w:rPr>
          <w:rFonts w:cs="Arial"/>
          <w:szCs w:val="22"/>
        </w:rPr>
      </w:pPr>
      <w:r w:rsidRPr="007847AA">
        <w:rPr>
          <w:rFonts w:cs="Arial"/>
          <w:szCs w:val="22"/>
        </w:rPr>
        <w:t>C</w:t>
      </w:r>
      <w:r w:rsidR="00DB7AAB" w:rsidRPr="007847AA">
        <w:rPr>
          <w:rFonts w:cs="Arial"/>
          <w:szCs w:val="22"/>
        </w:rPr>
        <w:t xml:space="preserve">ompliance with other </w:t>
      </w:r>
      <w:r w:rsidR="000E262B" w:rsidRPr="007847AA">
        <w:rPr>
          <w:rFonts w:cs="Arial"/>
          <w:szCs w:val="22"/>
        </w:rPr>
        <w:t xml:space="preserve">federal and </w:t>
      </w:r>
      <w:r w:rsidR="00DB7AAB" w:rsidRPr="007847AA">
        <w:rPr>
          <w:rFonts w:cs="Arial"/>
          <w:szCs w:val="22"/>
        </w:rPr>
        <w:t>TDA requirements, including civil rights regulations, single audit compliance, and competitive procurement</w:t>
      </w:r>
      <w:r w:rsidR="00CE2FAC" w:rsidRPr="007847AA">
        <w:rPr>
          <w:rFonts w:cs="Arial"/>
          <w:szCs w:val="22"/>
        </w:rPr>
        <w:t>, as described in Section A of this Implementation Manual</w:t>
      </w:r>
      <w:r w:rsidR="00721B44" w:rsidRPr="007847AA">
        <w:rPr>
          <w:rFonts w:cs="Arial"/>
          <w:szCs w:val="22"/>
        </w:rPr>
        <w:t>.</w:t>
      </w:r>
    </w:p>
    <w:p w14:paraId="53FE8F41" w14:textId="77777777" w:rsidR="00DB7AAB" w:rsidRPr="007847AA" w:rsidRDefault="00DB7AAB" w:rsidP="008D64E2">
      <w:pPr>
        <w:ind w:left="27"/>
        <w:jc w:val="both"/>
        <w:rPr>
          <w:rFonts w:cs="Arial"/>
          <w:szCs w:val="22"/>
        </w:rPr>
      </w:pPr>
    </w:p>
    <w:p w14:paraId="67CA8475" w14:textId="008AC045" w:rsidR="0093288F" w:rsidRPr="007847AA" w:rsidRDefault="00784247" w:rsidP="008D64E2">
      <w:pPr>
        <w:ind w:left="27"/>
        <w:jc w:val="both"/>
        <w:rPr>
          <w:rFonts w:cs="Arial"/>
          <w:szCs w:val="22"/>
        </w:rPr>
      </w:pPr>
      <w:r w:rsidRPr="007847AA">
        <w:rPr>
          <w:rFonts w:cs="Arial"/>
          <w:b/>
          <w:bCs/>
          <w:szCs w:val="22"/>
        </w:rPr>
        <w:t>NOTE</w:t>
      </w:r>
      <w:r w:rsidR="0093288F" w:rsidRPr="007847AA">
        <w:rPr>
          <w:rFonts w:cs="Arial"/>
          <w:szCs w:val="22"/>
        </w:rPr>
        <w:t xml:space="preserve">: The CBDO may provide some or all </w:t>
      </w:r>
      <w:r w:rsidR="00506BA4" w:rsidRPr="007847AA">
        <w:rPr>
          <w:rFonts w:cs="Arial"/>
          <w:szCs w:val="22"/>
        </w:rPr>
        <w:t>eligible</w:t>
      </w:r>
      <w:r w:rsidR="0093288F" w:rsidRPr="007847AA">
        <w:rPr>
          <w:rFonts w:cs="Arial"/>
          <w:szCs w:val="22"/>
        </w:rPr>
        <w:t xml:space="preserve"> administrative services</w:t>
      </w:r>
      <w:r w:rsidR="00721B44" w:rsidRPr="007847AA">
        <w:rPr>
          <w:rFonts w:cs="Arial"/>
          <w:szCs w:val="22"/>
        </w:rPr>
        <w:t xml:space="preserve"> </w:t>
      </w:r>
      <w:r w:rsidR="00CE2FAC" w:rsidRPr="007847AA">
        <w:rPr>
          <w:rFonts w:cs="Arial"/>
          <w:szCs w:val="22"/>
        </w:rPr>
        <w:t xml:space="preserve">if the point of contact for the CBDO </w:t>
      </w:r>
      <w:proofErr w:type="gramStart"/>
      <w:r w:rsidR="00CE2FAC" w:rsidRPr="007847AA">
        <w:rPr>
          <w:rFonts w:cs="Arial"/>
          <w:szCs w:val="22"/>
        </w:rPr>
        <w:t xml:space="preserve">is </w:t>
      </w:r>
      <w:r w:rsidR="0093288F" w:rsidRPr="007847AA">
        <w:rPr>
          <w:rFonts w:cs="Arial"/>
          <w:szCs w:val="22"/>
        </w:rPr>
        <w:t>a TxCDBG Certified Administrator</w:t>
      </w:r>
      <w:proofErr w:type="gramEnd"/>
      <w:r w:rsidR="0093288F" w:rsidRPr="007847AA">
        <w:rPr>
          <w:rFonts w:cs="Arial"/>
          <w:szCs w:val="22"/>
        </w:rPr>
        <w:t>.</w:t>
      </w:r>
    </w:p>
    <w:p w14:paraId="769DCEB2" w14:textId="77777777" w:rsidR="0015392A" w:rsidRPr="007847AA" w:rsidRDefault="0015392A" w:rsidP="008D64E2">
      <w:pPr>
        <w:jc w:val="both"/>
        <w:rPr>
          <w:rFonts w:cs="Arial"/>
          <w:szCs w:val="22"/>
        </w:rPr>
      </w:pPr>
    </w:p>
    <w:p w14:paraId="1F0F7FA6" w14:textId="77777777" w:rsidR="00DB7AAB" w:rsidRPr="007847AA" w:rsidRDefault="00DB7AAB" w:rsidP="008D64E2">
      <w:pPr>
        <w:pStyle w:val="Heading2"/>
      </w:pPr>
      <w:bookmarkStart w:id="33" w:name="_Toc453925542"/>
      <w:bookmarkStart w:id="34" w:name="_Toc453926069"/>
      <w:bookmarkStart w:id="35" w:name="_Toc97767051"/>
      <w:bookmarkStart w:id="36" w:name="_Toc171794649"/>
      <w:r w:rsidRPr="007847AA">
        <w:t>C.</w:t>
      </w:r>
      <w:r w:rsidR="000809AC" w:rsidRPr="007847AA">
        <w:t>1.</w:t>
      </w:r>
      <w:r w:rsidR="00B26B01" w:rsidRPr="007847AA">
        <w:t>6</w:t>
      </w:r>
      <w:r w:rsidRPr="007847AA">
        <w:t xml:space="preserve"> Required Improvements</w:t>
      </w:r>
      <w:bookmarkEnd w:id="33"/>
      <w:bookmarkEnd w:id="34"/>
      <w:bookmarkEnd w:id="35"/>
      <w:bookmarkEnd w:id="36"/>
    </w:p>
    <w:p w14:paraId="30A0B5E2" w14:textId="77777777" w:rsidR="000A1EDB" w:rsidRPr="007847AA" w:rsidRDefault="000A1EDB" w:rsidP="008D64E2">
      <w:pPr>
        <w:jc w:val="both"/>
        <w:rPr>
          <w:rFonts w:cs="Arial"/>
          <w:szCs w:val="22"/>
        </w:rPr>
      </w:pPr>
    </w:p>
    <w:p w14:paraId="206E69E2" w14:textId="17A5AF6A" w:rsidR="00DB7AAB" w:rsidRPr="007847AA" w:rsidRDefault="00DB7AAB" w:rsidP="008D64E2">
      <w:pPr>
        <w:jc w:val="both"/>
        <w:rPr>
          <w:rFonts w:cs="Arial"/>
          <w:szCs w:val="22"/>
        </w:rPr>
      </w:pPr>
      <w:r w:rsidRPr="007847AA">
        <w:rPr>
          <w:rFonts w:cs="Arial"/>
          <w:szCs w:val="22"/>
        </w:rPr>
        <w:t xml:space="preserve">The rehabilitation </w:t>
      </w:r>
      <w:r w:rsidR="005E0F90" w:rsidRPr="007847AA">
        <w:rPr>
          <w:rFonts w:cs="Arial"/>
          <w:szCs w:val="22"/>
        </w:rPr>
        <w:t xml:space="preserve">or reconstruction </w:t>
      </w:r>
      <w:r w:rsidRPr="007847AA">
        <w:rPr>
          <w:rFonts w:cs="Arial"/>
          <w:szCs w:val="22"/>
        </w:rPr>
        <w:t>of any house using TxCDBG funds must</w:t>
      </w:r>
      <w:r w:rsidR="004E4444" w:rsidRPr="007847AA">
        <w:rPr>
          <w:rFonts w:cs="Arial"/>
          <w:szCs w:val="22"/>
        </w:rPr>
        <w:t>:</w:t>
      </w:r>
    </w:p>
    <w:p w14:paraId="46E0C138" w14:textId="79C2BE53" w:rsidR="00DB7AAB" w:rsidRPr="007847AA" w:rsidRDefault="003B628D" w:rsidP="008D64E2">
      <w:pPr>
        <w:numPr>
          <w:ilvl w:val="0"/>
          <w:numId w:val="1"/>
        </w:numPr>
        <w:tabs>
          <w:tab w:val="clear" w:pos="1500"/>
        </w:tabs>
        <w:ind w:left="720"/>
        <w:rPr>
          <w:rFonts w:cs="Arial"/>
          <w:szCs w:val="22"/>
        </w:rPr>
      </w:pPr>
      <w:r w:rsidRPr="007847AA">
        <w:rPr>
          <w:rFonts w:cs="Arial"/>
          <w:szCs w:val="22"/>
        </w:rPr>
        <w:t>I</w:t>
      </w:r>
      <w:r w:rsidR="00DB7AAB" w:rsidRPr="007847AA">
        <w:rPr>
          <w:rFonts w:cs="Arial"/>
          <w:szCs w:val="22"/>
        </w:rPr>
        <w:t xml:space="preserve">nclude energy efficiency and conservation standards as considerations in the planned </w:t>
      </w:r>
      <w:proofErr w:type="gramStart"/>
      <w:r w:rsidR="00DB7AAB" w:rsidRPr="007847AA">
        <w:rPr>
          <w:rFonts w:cs="Arial"/>
          <w:szCs w:val="22"/>
        </w:rPr>
        <w:t>improvements;</w:t>
      </w:r>
      <w:proofErr w:type="gramEnd"/>
      <w:r w:rsidR="00DB7AAB" w:rsidRPr="007847AA">
        <w:rPr>
          <w:rFonts w:cs="Arial"/>
          <w:szCs w:val="22"/>
        </w:rPr>
        <w:t xml:space="preserve"> </w:t>
      </w:r>
    </w:p>
    <w:p w14:paraId="37614B13" w14:textId="3F0C8198" w:rsidR="00DB7AAB" w:rsidRPr="007847AA" w:rsidRDefault="003B628D" w:rsidP="008D64E2">
      <w:pPr>
        <w:numPr>
          <w:ilvl w:val="0"/>
          <w:numId w:val="1"/>
        </w:numPr>
        <w:tabs>
          <w:tab w:val="clear" w:pos="1500"/>
        </w:tabs>
        <w:ind w:left="720"/>
        <w:rPr>
          <w:rFonts w:cs="Arial"/>
          <w:szCs w:val="22"/>
        </w:rPr>
      </w:pPr>
      <w:r w:rsidRPr="007847AA">
        <w:rPr>
          <w:rFonts w:cs="Arial"/>
          <w:szCs w:val="22"/>
        </w:rPr>
        <w:t>I</w:t>
      </w:r>
      <w:r w:rsidR="00DB7AAB" w:rsidRPr="007847AA">
        <w:rPr>
          <w:rFonts w:cs="Arial"/>
          <w:szCs w:val="22"/>
        </w:rPr>
        <w:t>nstall a hard-wired or battery</w:t>
      </w:r>
      <w:r w:rsidR="00FA0031" w:rsidRPr="007847AA">
        <w:rPr>
          <w:rFonts w:cs="Arial"/>
          <w:szCs w:val="22"/>
        </w:rPr>
        <w:t>-</w:t>
      </w:r>
      <w:r w:rsidR="00DB7AAB" w:rsidRPr="007847AA">
        <w:rPr>
          <w:rFonts w:cs="Arial"/>
          <w:szCs w:val="22"/>
        </w:rPr>
        <w:t xml:space="preserve">operated smoke detector in accordance with National Fire Protection Association </w:t>
      </w:r>
      <w:proofErr w:type="gramStart"/>
      <w:r w:rsidR="00DB7AAB" w:rsidRPr="007847AA">
        <w:rPr>
          <w:rFonts w:cs="Arial"/>
          <w:szCs w:val="22"/>
        </w:rPr>
        <w:t>standards;</w:t>
      </w:r>
      <w:proofErr w:type="gramEnd"/>
      <w:r w:rsidR="00DB7AAB" w:rsidRPr="007847AA">
        <w:rPr>
          <w:rFonts w:cs="Arial"/>
          <w:szCs w:val="22"/>
        </w:rPr>
        <w:t xml:space="preserve"> </w:t>
      </w:r>
    </w:p>
    <w:p w14:paraId="2A89E78E" w14:textId="5DD47F68" w:rsidR="00DB7AAB" w:rsidRPr="007847AA" w:rsidRDefault="003B628D" w:rsidP="008D64E2">
      <w:pPr>
        <w:numPr>
          <w:ilvl w:val="0"/>
          <w:numId w:val="1"/>
        </w:numPr>
        <w:tabs>
          <w:tab w:val="clear" w:pos="1500"/>
        </w:tabs>
        <w:ind w:left="720"/>
        <w:rPr>
          <w:rFonts w:cs="Arial"/>
          <w:szCs w:val="22"/>
        </w:rPr>
      </w:pPr>
      <w:r w:rsidRPr="007847AA">
        <w:rPr>
          <w:rFonts w:cs="Arial"/>
          <w:szCs w:val="22"/>
        </w:rPr>
        <w:t>A</w:t>
      </w:r>
      <w:r w:rsidR="00DB7AAB" w:rsidRPr="007847AA">
        <w:rPr>
          <w:rFonts w:cs="Arial"/>
          <w:szCs w:val="22"/>
        </w:rPr>
        <w:t>ddress lead-based paint and asbestos hazards; and</w:t>
      </w:r>
    </w:p>
    <w:p w14:paraId="0784E94A" w14:textId="3C2894CB" w:rsidR="00DB7AAB" w:rsidRPr="007847AA" w:rsidRDefault="003B628D" w:rsidP="008D64E2">
      <w:pPr>
        <w:numPr>
          <w:ilvl w:val="0"/>
          <w:numId w:val="1"/>
        </w:numPr>
        <w:tabs>
          <w:tab w:val="clear" w:pos="1500"/>
        </w:tabs>
        <w:ind w:left="720"/>
        <w:rPr>
          <w:rFonts w:cs="Arial"/>
          <w:szCs w:val="22"/>
        </w:rPr>
      </w:pPr>
      <w:r w:rsidRPr="007847AA">
        <w:rPr>
          <w:rFonts w:cs="Arial"/>
          <w:szCs w:val="22"/>
        </w:rPr>
        <w:t>E</w:t>
      </w:r>
      <w:r w:rsidR="00DB7AAB" w:rsidRPr="007847AA">
        <w:rPr>
          <w:rFonts w:cs="Arial"/>
          <w:szCs w:val="22"/>
        </w:rPr>
        <w:t>nsure connection to water and sanitary sewer services.</w:t>
      </w:r>
    </w:p>
    <w:p w14:paraId="56CAC8BC" w14:textId="77777777" w:rsidR="000A1EDB" w:rsidRPr="007847AA" w:rsidRDefault="000A1EDB" w:rsidP="008D64E2">
      <w:pPr>
        <w:ind w:left="360"/>
        <w:jc w:val="both"/>
        <w:rPr>
          <w:rFonts w:cs="Arial"/>
          <w:szCs w:val="22"/>
        </w:rPr>
      </w:pPr>
    </w:p>
    <w:p w14:paraId="3C83B2A2" w14:textId="77777777" w:rsidR="00DB7AAB" w:rsidRPr="007847AA" w:rsidRDefault="00DB7AAB" w:rsidP="008D64E2">
      <w:pPr>
        <w:pStyle w:val="Heading2"/>
      </w:pPr>
      <w:bookmarkStart w:id="37" w:name="_Toc453925543"/>
      <w:bookmarkStart w:id="38" w:name="_Toc453926070"/>
      <w:bookmarkStart w:id="39" w:name="_Toc97767052"/>
      <w:bookmarkStart w:id="40" w:name="_Toc171794650"/>
      <w:r w:rsidRPr="007847AA">
        <w:t>C.</w:t>
      </w:r>
      <w:r w:rsidR="000809AC" w:rsidRPr="007847AA">
        <w:t>1.</w:t>
      </w:r>
      <w:r w:rsidR="00B26B01" w:rsidRPr="007847AA">
        <w:t>7</w:t>
      </w:r>
      <w:r w:rsidRPr="007847AA">
        <w:t xml:space="preserve"> Rehabilitation vs</w:t>
      </w:r>
      <w:r w:rsidR="00F35C1D" w:rsidRPr="007847AA">
        <w:t>.</w:t>
      </w:r>
      <w:r w:rsidRPr="007847AA">
        <w:t xml:space="preserve"> Reconstruction</w:t>
      </w:r>
      <w:bookmarkEnd w:id="37"/>
      <w:bookmarkEnd w:id="38"/>
      <w:bookmarkEnd w:id="39"/>
      <w:bookmarkEnd w:id="40"/>
    </w:p>
    <w:p w14:paraId="2368BEA1" w14:textId="77777777" w:rsidR="000A1EDB" w:rsidRPr="007847AA" w:rsidRDefault="000A1EDB" w:rsidP="008D64E2">
      <w:pPr>
        <w:jc w:val="both"/>
        <w:rPr>
          <w:rFonts w:cs="Arial"/>
          <w:szCs w:val="22"/>
        </w:rPr>
      </w:pPr>
    </w:p>
    <w:p w14:paraId="0465EECC" w14:textId="5FA73768" w:rsidR="00DB7AAB" w:rsidRPr="007847AA" w:rsidRDefault="00DB7AAB" w:rsidP="008D64E2">
      <w:pPr>
        <w:pStyle w:val="1Arial11BODY"/>
        <w:spacing w:line="240" w:lineRule="auto"/>
      </w:pPr>
      <w:r w:rsidRPr="007847AA">
        <w:t>The decision to reconstruct a house is made on a case-by-case basis and requires prior written approval from TDA. Reconstruction of a housing unit requires a written feasibility analysis</w:t>
      </w:r>
      <w:r w:rsidR="00B04CBA" w:rsidRPr="007847AA">
        <w:t>, including</w:t>
      </w:r>
      <w:r w:rsidR="002A566E" w:rsidRPr="007847AA">
        <w:t>:</w:t>
      </w:r>
      <w:r w:rsidRPr="007847AA">
        <w:t xml:space="preserve"> </w:t>
      </w:r>
    </w:p>
    <w:p w14:paraId="5586C673" w14:textId="7BE10BAE" w:rsidR="00DB7AAB" w:rsidRPr="007847AA" w:rsidRDefault="003B628D" w:rsidP="008D64E2">
      <w:pPr>
        <w:pStyle w:val="2BULLETArial11"/>
        <w:spacing w:line="240" w:lineRule="auto"/>
        <w:ind w:right="-36"/>
      </w:pPr>
      <w:r w:rsidRPr="007847AA">
        <w:t>E</w:t>
      </w:r>
      <w:r w:rsidR="00DB7AAB" w:rsidRPr="007847AA">
        <w:t>stimated costs for meeting the HQS and TMCS standards</w:t>
      </w:r>
      <w:r w:rsidR="00B04CBA" w:rsidRPr="007847AA">
        <w:t xml:space="preserve"> through rehabilitating the housing </w:t>
      </w:r>
      <w:proofErr w:type="gramStart"/>
      <w:r w:rsidR="00B04CBA" w:rsidRPr="007847AA">
        <w:t>unit</w:t>
      </w:r>
      <w:r w:rsidR="00DB7AAB" w:rsidRPr="007847AA">
        <w:t>;</w:t>
      </w:r>
      <w:proofErr w:type="gramEnd"/>
      <w:r w:rsidR="00DB7AAB" w:rsidRPr="007847AA">
        <w:t xml:space="preserve"> </w:t>
      </w:r>
    </w:p>
    <w:p w14:paraId="2E78086A" w14:textId="038A0D8C" w:rsidR="00B04CBA" w:rsidRPr="007847AA" w:rsidRDefault="003B628D" w:rsidP="008D64E2">
      <w:pPr>
        <w:pStyle w:val="2BULLETArial11"/>
        <w:spacing w:line="240" w:lineRule="auto"/>
      </w:pPr>
      <w:r w:rsidRPr="007847AA">
        <w:t>E</w:t>
      </w:r>
      <w:r w:rsidR="00B04CBA" w:rsidRPr="007847AA">
        <w:t xml:space="preserve">stimated costs for reconstructing an equivalent housing </w:t>
      </w:r>
      <w:proofErr w:type="gramStart"/>
      <w:r w:rsidR="00B04CBA" w:rsidRPr="007847AA">
        <w:t>unit;</w:t>
      </w:r>
      <w:proofErr w:type="gramEnd"/>
    </w:p>
    <w:p w14:paraId="4DE78DCB" w14:textId="623666BC" w:rsidR="00B04CBA" w:rsidRPr="007847AA" w:rsidRDefault="003B628D" w:rsidP="008D64E2">
      <w:pPr>
        <w:pStyle w:val="2BULLETArial11"/>
        <w:spacing w:line="240" w:lineRule="auto"/>
      </w:pPr>
      <w:r w:rsidRPr="007847AA">
        <w:t>E</w:t>
      </w:r>
      <w:r w:rsidR="00B04CBA" w:rsidRPr="007847AA">
        <w:t xml:space="preserve">stimated value of the completed housing unit if </w:t>
      </w:r>
      <w:proofErr w:type="gramStart"/>
      <w:r w:rsidR="00B04CBA" w:rsidRPr="007847AA">
        <w:t>reconstructed;</w:t>
      </w:r>
      <w:proofErr w:type="gramEnd"/>
    </w:p>
    <w:p w14:paraId="473782EE" w14:textId="5C1020F2" w:rsidR="00DB7AAB" w:rsidRPr="007847AA" w:rsidRDefault="003B628D" w:rsidP="008D64E2">
      <w:pPr>
        <w:pStyle w:val="2BULLETArial11"/>
        <w:spacing w:line="240" w:lineRule="auto"/>
      </w:pPr>
      <w:r w:rsidRPr="007847AA">
        <w:t>I</w:t>
      </w:r>
      <w:r w:rsidR="00DB7AAB" w:rsidRPr="007847AA">
        <w:t>nitial inspection</w:t>
      </w:r>
      <w:r w:rsidR="00B04CBA" w:rsidRPr="007847AA">
        <w:t xml:space="preserve"> </w:t>
      </w:r>
      <w:proofErr w:type="gramStart"/>
      <w:r w:rsidR="00B04CBA" w:rsidRPr="007847AA">
        <w:t>report</w:t>
      </w:r>
      <w:r w:rsidR="00DB7AAB" w:rsidRPr="007847AA">
        <w:t>;</w:t>
      </w:r>
      <w:proofErr w:type="gramEnd"/>
    </w:p>
    <w:p w14:paraId="37A6CAAA" w14:textId="230B8AF5" w:rsidR="00DB7AAB" w:rsidRPr="007847AA" w:rsidRDefault="004E4444" w:rsidP="008D64E2">
      <w:pPr>
        <w:pStyle w:val="2BULLETArial11"/>
        <w:spacing w:line="240" w:lineRule="auto"/>
      </w:pPr>
      <w:r w:rsidRPr="007847AA">
        <w:rPr>
          <w:i/>
        </w:rPr>
        <w:t xml:space="preserve">Housing Rehabilitation Work Write-up and Cost Estimate Worksheet </w:t>
      </w:r>
      <w:r w:rsidR="00DB7AAB" w:rsidRPr="007847AA">
        <w:t>(</w:t>
      </w:r>
      <w:r w:rsidR="00DB7AAB" w:rsidRPr="007847AA">
        <w:rPr>
          <w:b/>
        </w:rPr>
        <w:t>Form C3</w:t>
      </w:r>
      <w:r w:rsidR="00DB7AAB" w:rsidRPr="007847AA">
        <w:t>)</w:t>
      </w:r>
      <w:r w:rsidR="005E0F90" w:rsidRPr="007847AA">
        <w:t>, including sufficient detail to prepare bid and contract documents</w:t>
      </w:r>
      <w:r w:rsidR="00B04CBA" w:rsidRPr="007847AA">
        <w:t xml:space="preserve"> and documenting the major housing systems requiring repair or </w:t>
      </w:r>
      <w:proofErr w:type="gramStart"/>
      <w:r w:rsidR="00B04CBA" w:rsidRPr="007847AA">
        <w:t>replacement</w:t>
      </w:r>
      <w:r w:rsidR="00DB7AAB" w:rsidRPr="007847AA">
        <w:t>;</w:t>
      </w:r>
      <w:proofErr w:type="gramEnd"/>
    </w:p>
    <w:p w14:paraId="14B9AC4F" w14:textId="0CDEB060" w:rsidR="00DB7AAB" w:rsidRPr="007847AA" w:rsidRDefault="003B628D" w:rsidP="008D64E2">
      <w:pPr>
        <w:pStyle w:val="2BULLETArial11"/>
        <w:spacing w:line="240" w:lineRule="auto"/>
      </w:pPr>
      <w:r w:rsidRPr="007847AA">
        <w:t>N</w:t>
      </w:r>
      <w:r w:rsidR="00DB7AAB" w:rsidRPr="007847AA">
        <w:t>otes and information pertinent to determining the construction required</w:t>
      </w:r>
      <w:r w:rsidR="00FA0031" w:rsidRPr="007847AA">
        <w:t xml:space="preserve">; </w:t>
      </w:r>
      <w:r w:rsidR="00DB7AAB" w:rsidRPr="007847AA">
        <w:t>and</w:t>
      </w:r>
    </w:p>
    <w:p w14:paraId="3214104B" w14:textId="5620FE68" w:rsidR="00DB7AAB" w:rsidRPr="007847AA" w:rsidRDefault="003B628D" w:rsidP="008D64E2">
      <w:pPr>
        <w:pStyle w:val="2BULLETArial11"/>
        <w:spacing w:line="240" w:lineRule="auto"/>
      </w:pPr>
      <w:r w:rsidRPr="007847AA">
        <w:t>P</w:t>
      </w:r>
      <w:r w:rsidR="00DB7AAB" w:rsidRPr="007847AA">
        <w:t>hotographs o</w:t>
      </w:r>
      <w:r w:rsidR="0033337F" w:rsidRPr="007847AA">
        <w:t>f</w:t>
      </w:r>
      <w:r w:rsidR="00DB7AAB" w:rsidRPr="007847AA">
        <w:t xml:space="preserve"> the housing unit’s interior and exterior.</w:t>
      </w:r>
    </w:p>
    <w:p w14:paraId="46C1CC8F" w14:textId="77777777" w:rsidR="00FA0031" w:rsidRPr="007847AA" w:rsidRDefault="00FA0031" w:rsidP="008D64E2">
      <w:pPr>
        <w:pStyle w:val="2BULLETArial11"/>
        <w:numPr>
          <w:ilvl w:val="0"/>
          <w:numId w:val="0"/>
        </w:numPr>
        <w:spacing w:line="240" w:lineRule="auto"/>
        <w:ind w:left="720"/>
      </w:pPr>
    </w:p>
    <w:p w14:paraId="13D17673" w14:textId="46F8F862" w:rsidR="00DB7AAB" w:rsidRPr="007847AA" w:rsidRDefault="00B04CBA" w:rsidP="008D64E2">
      <w:pPr>
        <w:pStyle w:val="1Arial11BODY"/>
        <w:spacing w:line="240" w:lineRule="auto"/>
      </w:pPr>
      <w:r w:rsidRPr="007847AA">
        <w:t xml:space="preserve">To request approval for reconstruction of a housing unit, include all above documentation in the </w:t>
      </w:r>
      <w:r w:rsidR="00185D84" w:rsidRPr="007847AA">
        <w:rPr>
          <w:i/>
          <w:iCs/>
        </w:rPr>
        <w:t>Special Request</w:t>
      </w:r>
      <w:r w:rsidR="00185D84" w:rsidRPr="007847AA">
        <w:t xml:space="preserve"> section of the TDA-GO </w:t>
      </w:r>
      <w:r w:rsidR="00185D84" w:rsidRPr="007847AA">
        <w:rPr>
          <w:i/>
          <w:iCs/>
        </w:rPr>
        <w:t>Grant Overview</w:t>
      </w:r>
      <w:r w:rsidRPr="007847AA">
        <w:t xml:space="preserve"> page.</w:t>
      </w:r>
    </w:p>
    <w:p w14:paraId="65B9CDDA" w14:textId="77777777" w:rsidR="00B24A0C" w:rsidRPr="007847AA" w:rsidRDefault="00B24A0C" w:rsidP="00D47343"/>
    <w:p w14:paraId="3BF20109" w14:textId="4ABACDA6" w:rsidR="00F1213B" w:rsidRPr="007847AA" w:rsidRDefault="00DB7AAB" w:rsidP="008D64E2">
      <w:pPr>
        <w:pStyle w:val="Heading2"/>
      </w:pPr>
      <w:bookmarkStart w:id="41" w:name="_Toc453925547"/>
      <w:bookmarkStart w:id="42" w:name="_Toc453926074"/>
      <w:bookmarkStart w:id="43" w:name="_Toc97767053"/>
      <w:bookmarkStart w:id="44" w:name="_Toc171794651"/>
      <w:r w:rsidRPr="007847AA">
        <w:t>C.</w:t>
      </w:r>
      <w:r w:rsidR="000809AC" w:rsidRPr="007847AA">
        <w:t>1.</w:t>
      </w:r>
      <w:r w:rsidR="00B26B01" w:rsidRPr="007847AA">
        <w:t>8</w:t>
      </w:r>
      <w:r w:rsidR="007D509D" w:rsidRPr="007847AA">
        <w:t xml:space="preserve"> </w:t>
      </w:r>
      <w:r w:rsidRPr="007847AA">
        <w:t>Age of Property/Lead</w:t>
      </w:r>
      <w:r w:rsidR="00506BA4" w:rsidRPr="007847AA">
        <w:rPr>
          <w:b w:val="0"/>
        </w:rPr>
        <w:t>–</w:t>
      </w:r>
      <w:r w:rsidR="006F448A" w:rsidRPr="007847AA">
        <w:t>b</w:t>
      </w:r>
      <w:r w:rsidRPr="007847AA">
        <w:t>ased Paint</w:t>
      </w:r>
      <w:bookmarkEnd w:id="41"/>
      <w:bookmarkEnd w:id="42"/>
      <w:bookmarkEnd w:id="43"/>
      <w:bookmarkEnd w:id="44"/>
      <w:r w:rsidRPr="007847AA">
        <w:t xml:space="preserve"> </w:t>
      </w:r>
    </w:p>
    <w:p w14:paraId="4E1E877E" w14:textId="77777777" w:rsidR="00517723" w:rsidRPr="007847AA" w:rsidRDefault="00517723" w:rsidP="008D64E2"/>
    <w:p w14:paraId="0440C2B8" w14:textId="77777777" w:rsidR="00E179FD" w:rsidRPr="007847AA" w:rsidRDefault="003E600E" w:rsidP="008D64E2">
      <w:pPr>
        <w:pStyle w:val="1Arial11BODY"/>
        <w:spacing w:line="240" w:lineRule="auto"/>
      </w:pPr>
      <w:r w:rsidRPr="007847AA">
        <w:t xml:space="preserve">In addition to the statutes and regulations governing the CDBG program overall, CDBG housing activities </w:t>
      </w:r>
      <w:r w:rsidR="00517723" w:rsidRPr="007847AA">
        <w:t xml:space="preserve">at the federal level </w:t>
      </w:r>
      <w:r w:rsidRPr="007847AA">
        <w:t>are governed by Title IV of the Lead-Based Paint Poisoning Prevention Act and regulations under 24 CFR Part 35.</w:t>
      </w:r>
      <w:r w:rsidR="00517723" w:rsidRPr="007847AA">
        <w:t xml:space="preserve"> </w:t>
      </w:r>
      <w:r w:rsidR="00DB7AAB" w:rsidRPr="007847AA">
        <w:t xml:space="preserve">Housing rehabilitation activities often involve property that, depending on </w:t>
      </w:r>
      <w:r w:rsidR="0033337F" w:rsidRPr="007847AA">
        <w:t>its</w:t>
      </w:r>
      <w:r w:rsidR="00DB7AAB" w:rsidRPr="007847AA">
        <w:t xml:space="preserve"> age, may contain lead-based paint.</w:t>
      </w:r>
      <w:r w:rsidR="00517723" w:rsidRPr="007847AA">
        <w:t xml:space="preserve"> </w:t>
      </w:r>
      <w:r w:rsidR="00DB7AAB" w:rsidRPr="007847AA">
        <w:t>Age of the property can indicate the amount of lead-based paint likely to be present and the extent of the lead hazard control work that may be necessary.</w:t>
      </w:r>
      <w:r w:rsidR="00517723" w:rsidRPr="007847AA">
        <w:t xml:space="preserve"> </w:t>
      </w:r>
      <w:proofErr w:type="gramStart"/>
      <w:r w:rsidR="00DB7AAB" w:rsidRPr="007847AA">
        <w:t>The majority of</w:t>
      </w:r>
      <w:proofErr w:type="gramEnd"/>
      <w:r w:rsidR="00DB7AAB" w:rsidRPr="007847AA">
        <w:t xml:space="preserve"> buildings built before 1978, and especially those built before 1960, contain some lead-based paint</w:t>
      </w:r>
      <w:r w:rsidR="00BD5BF6" w:rsidRPr="007847AA">
        <w:t>.</w:t>
      </w:r>
      <w:r w:rsidR="00DB7AAB" w:rsidRPr="007847AA">
        <w:t xml:space="preserve">  </w:t>
      </w:r>
    </w:p>
    <w:p w14:paraId="437ACD6F" w14:textId="77777777" w:rsidR="00D05790" w:rsidRPr="007847AA" w:rsidRDefault="00D05790" w:rsidP="008D64E2">
      <w:pPr>
        <w:pStyle w:val="1Arial11BODY"/>
        <w:spacing w:line="240" w:lineRule="auto"/>
      </w:pPr>
    </w:p>
    <w:p w14:paraId="5927E4D4" w14:textId="2D712321" w:rsidR="00E179FD" w:rsidRPr="007847AA" w:rsidRDefault="00DB7AAB" w:rsidP="008D64E2">
      <w:pPr>
        <w:pStyle w:val="1Arial11BODY"/>
        <w:spacing w:line="240" w:lineRule="auto"/>
      </w:pPr>
      <w:r w:rsidRPr="007847AA">
        <w:t>The older the dwelling, the higher the concentration of lead in the paint</w:t>
      </w:r>
      <w:r w:rsidR="006F448A" w:rsidRPr="007847AA">
        <w:t xml:space="preserve">. </w:t>
      </w:r>
      <w:r w:rsidRPr="007847AA">
        <w:t>For pre-1950 properties, it is reasonable to assume that lead-based paint is present on more than a few surfaces and that abatement of lead hazards will involve a significant amount of work.</w:t>
      </w:r>
      <w:r w:rsidR="004E4444" w:rsidRPr="007847AA">
        <w:rPr>
          <w:rStyle w:val="FootnoteReference"/>
        </w:rPr>
        <w:footnoteReference w:id="2"/>
      </w:r>
      <w:r w:rsidR="00D05790" w:rsidRPr="007847AA">
        <w:t xml:space="preserve"> </w:t>
      </w:r>
    </w:p>
    <w:p w14:paraId="6A827A1F" w14:textId="77777777" w:rsidR="00D05790" w:rsidRPr="007847AA" w:rsidRDefault="00D05790" w:rsidP="008D64E2">
      <w:pPr>
        <w:pStyle w:val="1Arial11BODY"/>
        <w:spacing w:line="240" w:lineRule="auto"/>
      </w:pPr>
    </w:p>
    <w:p w14:paraId="2A93E0B0" w14:textId="786036A9" w:rsidR="008E678A" w:rsidRPr="007847AA" w:rsidRDefault="00C92903" w:rsidP="008D64E2">
      <w:pPr>
        <w:pStyle w:val="1Arial11BODY"/>
        <w:spacing w:line="240" w:lineRule="auto"/>
      </w:pPr>
      <w:r w:rsidRPr="007847AA">
        <w:t xml:space="preserve">The homeowner and housing rehabilitation coordinator must certify on the </w:t>
      </w:r>
      <w:r w:rsidRPr="007847AA">
        <w:rPr>
          <w:i/>
          <w:iCs/>
        </w:rPr>
        <w:t>Status of Compliance with Lead-Based Paint Regulations</w:t>
      </w:r>
      <w:r w:rsidRPr="007847AA">
        <w:t xml:space="preserve"> </w:t>
      </w:r>
      <w:r w:rsidRPr="007847AA">
        <w:rPr>
          <w:b/>
          <w:bCs/>
        </w:rPr>
        <w:t>(Form C2a)</w:t>
      </w:r>
      <w:r w:rsidRPr="007847AA">
        <w:t xml:space="preserve"> whether the assisted home was known to be constructed post-1977. The Grant Recipient must also certify any other qualifying exemptions to lead</w:t>
      </w:r>
      <w:r w:rsidR="00747D79" w:rsidRPr="007847AA">
        <w:t>-</w:t>
      </w:r>
      <w:r w:rsidRPr="007847AA">
        <w:t xml:space="preserve">based paint requirements under 24 CFR §35.115 using </w:t>
      </w:r>
      <w:r w:rsidR="004E4444" w:rsidRPr="007847AA">
        <w:rPr>
          <w:i/>
          <w:iCs/>
        </w:rPr>
        <w:t>Certification of Lead-Based Paint Exemption</w:t>
      </w:r>
      <w:r w:rsidR="004E4444" w:rsidRPr="007847AA">
        <w:rPr>
          <w:b/>
          <w:bCs/>
        </w:rPr>
        <w:t xml:space="preserve"> (</w:t>
      </w:r>
      <w:r w:rsidRPr="007847AA">
        <w:rPr>
          <w:b/>
          <w:bCs/>
        </w:rPr>
        <w:t>Form C2b</w:t>
      </w:r>
      <w:r w:rsidR="004E4444" w:rsidRPr="007847AA">
        <w:rPr>
          <w:b/>
          <w:bCs/>
        </w:rPr>
        <w:t>)</w:t>
      </w:r>
      <w:r w:rsidRPr="007847AA">
        <w:t>.</w:t>
      </w:r>
    </w:p>
    <w:p w14:paraId="061F8939" w14:textId="77777777" w:rsidR="00BF1A81" w:rsidRPr="007847AA" w:rsidRDefault="00BF1A81" w:rsidP="008D64E2">
      <w:pPr>
        <w:pStyle w:val="1Arial11BODY"/>
        <w:spacing w:line="240" w:lineRule="auto"/>
      </w:pPr>
    </w:p>
    <w:p w14:paraId="02DFF58D" w14:textId="77777777" w:rsidR="00BF1A81" w:rsidRPr="007847AA" w:rsidRDefault="00BF1A81" w:rsidP="008D64E2">
      <w:pPr>
        <w:pStyle w:val="1Arial11BODY"/>
        <w:spacing w:line="240" w:lineRule="auto"/>
      </w:pPr>
      <w:r w:rsidRPr="007847AA">
        <w:t xml:space="preserve">No lead-based paint testing is required if the housing is certified to be built </w:t>
      </w:r>
      <w:r w:rsidR="00763664" w:rsidRPr="007847AA">
        <w:t xml:space="preserve">on or </w:t>
      </w:r>
      <w:r w:rsidR="009050AB" w:rsidRPr="007847AA">
        <w:t>after</w:t>
      </w:r>
      <w:r w:rsidRPr="007847AA">
        <w:t xml:space="preserve"> </w:t>
      </w:r>
      <w:r w:rsidR="00856517" w:rsidRPr="007847AA">
        <w:t xml:space="preserve">January 1, </w:t>
      </w:r>
      <w:r w:rsidRPr="007847AA">
        <w:t xml:space="preserve">1978.  </w:t>
      </w:r>
    </w:p>
    <w:p w14:paraId="64DBCB48" w14:textId="77777777" w:rsidR="008E678A" w:rsidRPr="007847AA" w:rsidRDefault="008E678A" w:rsidP="008D64E2">
      <w:pPr>
        <w:jc w:val="both"/>
        <w:rPr>
          <w:rFonts w:cs="Arial"/>
          <w:b/>
          <w:szCs w:val="22"/>
          <w:u w:val="single"/>
        </w:rPr>
      </w:pPr>
    </w:p>
    <w:p w14:paraId="5F1277AD" w14:textId="77777777" w:rsidR="00DB7AAB" w:rsidRPr="007847AA" w:rsidRDefault="0043328B" w:rsidP="008D64E2">
      <w:pPr>
        <w:pStyle w:val="3BOLDArial11"/>
        <w:spacing w:line="240" w:lineRule="auto"/>
      </w:pPr>
      <w:r w:rsidRPr="007847AA">
        <w:t>Calculating the Level of Rehabilitative Assistance</w:t>
      </w:r>
    </w:p>
    <w:p w14:paraId="6286159E" w14:textId="5C36E110" w:rsidR="00DA1BD2" w:rsidRPr="007847AA" w:rsidRDefault="003055C8" w:rsidP="008D64E2">
      <w:pPr>
        <w:pStyle w:val="1Arial11BODY"/>
        <w:spacing w:line="240" w:lineRule="auto"/>
      </w:pPr>
      <w:r w:rsidRPr="007847AA">
        <w:t>The lead hazard evaluation and reduction activities required for rehabilitation projects depend on the level of rehabilitation assistance received by the project. This level of assistance is determined by taking the lower of</w:t>
      </w:r>
      <w:r w:rsidR="009E7366" w:rsidRPr="007847AA">
        <w:t>:</w:t>
      </w:r>
    </w:p>
    <w:p w14:paraId="4CF82C35" w14:textId="1E1DDEF1" w:rsidR="003055C8" w:rsidRPr="007847AA" w:rsidRDefault="004E4444" w:rsidP="00D47343">
      <w:pPr>
        <w:pStyle w:val="2BULLETArial11"/>
        <w:spacing w:line="240" w:lineRule="auto"/>
        <w:jc w:val="both"/>
      </w:pPr>
      <w:r w:rsidRPr="007847AA">
        <w:t>P</w:t>
      </w:r>
      <w:r w:rsidR="003055C8" w:rsidRPr="007847AA">
        <w:t>er unit rehabilitation hard costs</w:t>
      </w:r>
      <w:r w:rsidR="00517723" w:rsidRPr="007847AA">
        <w:t>—</w:t>
      </w:r>
      <w:r w:rsidR="003055C8" w:rsidRPr="007847AA">
        <w:t xml:space="preserve">regardless of source of funds; or </w:t>
      </w:r>
    </w:p>
    <w:p w14:paraId="67C4D6FA" w14:textId="7AFE8C9A" w:rsidR="003055C8" w:rsidRPr="007847AA" w:rsidRDefault="004E4444" w:rsidP="00D47343">
      <w:pPr>
        <w:pStyle w:val="2BULLETArial11"/>
        <w:spacing w:line="240" w:lineRule="auto"/>
        <w:jc w:val="both"/>
      </w:pPr>
      <w:r w:rsidRPr="007847AA">
        <w:t>P</w:t>
      </w:r>
      <w:r w:rsidR="003055C8" w:rsidRPr="007847AA">
        <w:t xml:space="preserve">er unit </w:t>
      </w:r>
      <w:r w:rsidR="00517723" w:rsidRPr="007847AA">
        <w:t>f</w:t>
      </w:r>
      <w:r w:rsidR="003055C8" w:rsidRPr="007847AA">
        <w:t>ederal assistance</w:t>
      </w:r>
      <w:r w:rsidR="00517723" w:rsidRPr="007847AA">
        <w:t>—</w:t>
      </w:r>
      <w:r w:rsidR="003055C8" w:rsidRPr="007847AA">
        <w:t xml:space="preserve">regardless of the use of the funds. </w:t>
      </w:r>
    </w:p>
    <w:p w14:paraId="057819FA" w14:textId="77777777" w:rsidR="003055C8" w:rsidRPr="007847AA" w:rsidRDefault="003055C8" w:rsidP="00D47343">
      <w:pPr>
        <w:pStyle w:val="1Arial11BODY"/>
        <w:spacing w:line="240" w:lineRule="auto"/>
      </w:pPr>
    </w:p>
    <w:p w14:paraId="6B894789" w14:textId="77777777" w:rsidR="003055C8" w:rsidRPr="007847AA" w:rsidRDefault="003055C8" w:rsidP="008D64E2">
      <w:pPr>
        <w:pStyle w:val="1Arial11BODY"/>
        <w:spacing w:line="240" w:lineRule="auto"/>
      </w:pPr>
      <w:r w:rsidRPr="007847AA">
        <w:t xml:space="preserve">To make this determination, it helps to understand several terms: </w:t>
      </w:r>
    </w:p>
    <w:p w14:paraId="0C8A4A0F" w14:textId="77777777" w:rsidR="003055C8" w:rsidRPr="007847AA" w:rsidRDefault="003055C8" w:rsidP="00D47343">
      <w:pPr>
        <w:pStyle w:val="2BULLETArial11"/>
        <w:spacing w:line="240" w:lineRule="auto"/>
        <w:jc w:val="both"/>
      </w:pPr>
      <w:r w:rsidRPr="007847AA">
        <w:rPr>
          <w:b/>
          <w:bCs/>
        </w:rPr>
        <w:t>Rehabilitation Hard Costs</w:t>
      </w:r>
      <w:r w:rsidR="006F448A" w:rsidRPr="007847AA">
        <w:t xml:space="preserve"> – </w:t>
      </w:r>
      <w:r w:rsidRPr="007847AA">
        <w:t xml:space="preserve">The rehabilitation costs are calculated using only hard costs. They do not include soft costs or the costs of lead hazard evaluation and reduction, as described below. </w:t>
      </w:r>
    </w:p>
    <w:p w14:paraId="3047DB85" w14:textId="77777777" w:rsidR="003055C8" w:rsidRPr="007847AA" w:rsidRDefault="003055C8" w:rsidP="00D47343">
      <w:pPr>
        <w:pStyle w:val="2BULLETArial11"/>
        <w:spacing w:line="240" w:lineRule="auto"/>
        <w:jc w:val="both"/>
      </w:pPr>
      <w:r w:rsidRPr="007847AA">
        <w:rPr>
          <w:b/>
          <w:bCs/>
        </w:rPr>
        <w:t>Lead Hazard Evaluation and Reduction</w:t>
      </w:r>
      <w:r w:rsidRPr="007847AA">
        <w:t xml:space="preserve"> </w:t>
      </w:r>
      <w:r w:rsidRPr="007847AA">
        <w:rPr>
          <w:b/>
          <w:bCs/>
        </w:rPr>
        <w:t>Costs</w:t>
      </w:r>
      <w:r w:rsidR="006F448A" w:rsidRPr="007847AA">
        <w:t xml:space="preserve"> – </w:t>
      </w:r>
      <w:r w:rsidRPr="007847AA">
        <w:t>Lead hazard evaluation and reduction costs include costs associated with site preparation, occupant protection, relocation, interim controls, abatement, clearance, and waste handling attributable to lead-based paint hazard reduction.</w:t>
      </w:r>
    </w:p>
    <w:p w14:paraId="4FBD4E63" w14:textId="77777777" w:rsidR="003055C8" w:rsidRPr="007847AA" w:rsidRDefault="003055C8" w:rsidP="00D47343">
      <w:pPr>
        <w:pStyle w:val="2BULLETArial11"/>
        <w:spacing w:line="240" w:lineRule="auto"/>
        <w:jc w:val="both"/>
      </w:pPr>
      <w:r w:rsidRPr="007847AA">
        <w:rPr>
          <w:b/>
          <w:bCs/>
        </w:rPr>
        <w:t>Federal Assistance</w:t>
      </w:r>
      <w:r w:rsidR="006F448A" w:rsidRPr="007847AA">
        <w:t xml:space="preserve"> – </w:t>
      </w:r>
      <w:r w:rsidRPr="007847AA">
        <w:t xml:space="preserve">Federal assistance includes all </w:t>
      </w:r>
      <w:r w:rsidR="006F448A" w:rsidRPr="007847AA">
        <w:t>fe</w:t>
      </w:r>
      <w:r w:rsidRPr="007847AA">
        <w:t xml:space="preserve">deral funds provided to the rehabilitation project, regardless of whether the funds are used for acquisition, construction, soft costs or other purposes. This also includes funds from </w:t>
      </w:r>
      <w:proofErr w:type="gramStart"/>
      <w:r w:rsidRPr="007847AA">
        <w:t>program</w:t>
      </w:r>
      <w:proofErr w:type="gramEnd"/>
      <w:r w:rsidRPr="007847AA">
        <w:t xml:space="preserve"> income.</w:t>
      </w:r>
    </w:p>
    <w:p w14:paraId="2C751A56" w14:textId="77777777" w:rsidR="003055C8" w:rsidRPr="007847AA" w:rsidRDefault="003055C8" w:rsidP="008D64E2">
      <w:pPr>
        <w:pStyle w:val="1Arial11BODY"/>
        <w:spacing w:line="240" w:lineRule="auto"/>
      </w:pPr>
    </w:p>
    <w:p w14:paraId="23801E13" w14:textId="77777777" w:rsidR="00E179FD" w:rsidRPr="007847AA" w:rsidRDefault="005C729B" w:rsidP="008D64E2">
      <w:pPr>
        <w:pStyle w:val="1Arial11BODY"/>
        <w:spacing w:line="240" w:lineRule="auto"/>
      </w:pPr>
      <w:r w:rsidRPr="007847AA">
        <w:rPr>
          <w:b/>
          <w:bCs/>
        </w:rPr>
        <w:t>EXAMPLE</w:t>
      </w:r>
      <w:r w:rsidR="00E179FD" w:rsidRPr="007847AA">
        <w:rPr>
          <w:b/>
          <w:bCs/>
        </w:rPr>
        <w:t>:</w:t>
      </w:r>
      <w:r w:rsidR="00E179FD" w:rsidRPr="007847AA">
        <w:t xml:space="preserve"> A family is receiving a CDBG grant of $25,000 to rehabilitate their home. $5,000 of the costs will be to reduce the amount of lead</w:t>
      </w:r>
      <w:r w:rsidRPr="007847AA">
        <w:t>-</w:t>
      </w:r>
      <w:r w:rsidR="00E179FD" w:rsidRPr="007847AA">
        <w:t>based paint found in the home.</w:t>
      </w:r>
      <w:r w:rsidR="00505666" w:rsidRPr="007847AA">
        <w:t xml:space="preserve"> </w:t>
      </w:r>
      <w:r w:rsidR="00E179FD" w:rsidRPr="007847AA">
        <w:t>The level of rehabilitative assistance required will be based on $20,000</w:t>
      </w:r>
      <w:r w:rsidR="0013611B" w:rsidRPr="007847AA">
        <w:t xml:space="preserve">, </w:t>
      </w:r>
      <w:r w:rsidR="00E179FD" w:rsidRPr="007847AA">
        <w:t>i.e</w:t>
      </w:r>
      <w:r w:rsidR="00B2035C" w:rsidRPr="007847AA">
        <w:t>.</w:t>
      </w:r>
      <w:r w:rsidRPr="007847AA">
        <w:t xml:space="preserve">, </w:t>
      </w:r>
      <w:r w:rsidR="00E179FD" w:rsidRPr="007847AA">
        <w:t>more than $5,000 and up to $25,000 per unit.</w:t>
      </w:r>
    </w:p>
    <w:p w14:paraId="050E87A9" w14:textId="77777777" w:rsidR="0041526C" w:rsidRPr="007847AA" w:rsidRDefault="0041526C" w:rsidP="008D64E2">
      <w:pPr>
        <w:jc w:val="both"/>
        <w:rPr>
          <w:rFonts w:cs="Arial"/>
          <w:b/>
          <w:szCs w:val="22"/>
          <w:u w:val="single"/>
        </w:rPr>
      </w:pPr>
    </w:p>
    <w:p w14:paraId="1977202F" w14:textId="3798C640" w:rsidR="00A34F76" w:rsidRPr="007847AA" w:rsidRDefault="00B46812" w:rsidP="00D47343">
      <w:pPr>
        <w:pStyle w:val="3BOLDArial11"/>
        <w:spacing w:line="240" w:lineRule="auto"/>
        <w:ind w:right="-36"/>
        <w:jc w:val="both"/>
      </w:pPr>
      <w:r w:rsidRPr="007847AA">
        <w:t>P</w:t>
      </w:r>
      <w:r w:rsidR="00A34F76" w:rsidRPr="007847AA">
        <w:t xml:space="preserve">er </w:t>
      </w:r>
      <w:r w:rsidRPr="007847AA">
        <w:t>U</w:t>
      </w:r>
      <w:r w:rsidR="00A34F76" w:rsidRPr="007847AA">
        <w:t xml:space="preserve">nit </w:t>
      </w:r>
      <w:r w:rsidRPr="007847AA">
        <w:t>A</w:t>
      </w:r>
      <w:r w:rsidR="00A34F76" w:rsidRPr="007847AA">
        <w:t xml:space="preserve">mount of </w:t>
      </w:r>
      <w:r w:rsidRPr="007847AA">
        <w:t>R</w:t>
      </w:r>
      <w:r w:rsidR="00A34F76" w:rsidRPr="007847AA">
        <w:t xml:space="preserve">ehabilitation </w:t>
      </w:r>
      <w:r w:rsidRPr="007847AA">
        <w:t>C</w:t>
      </w:r>
      <w:r w:rsidR="00A34F76" w:rsidRPr="007847AA">
        <w:t xml:space="preserve">osts, </w:t>
      </w:r>
      <w:r w:rsidRPr="007847AA">
        <w:t>E</w:t>
      </w:r>
      <w:r w:rsidR="00A34F76" w:rsidRPr="007847AA">
        <w:t xml:space="preserve">xcluding Lead Hazard Reduction (LHR) </w:t>
      </w:r>
      <w:r w:rsidRPr="007847AA">
        <w:t>C</w:t>
      </w:r>
      <w:r w:rsidR="00A34F76" w:rsidRPr="007847AA">
        <w:t>osts</w:t>
      </w:r>
    </w:p>
    <w:p w14:paraId="0A1A70FC" w14:textId="77777777" w:rsidR="00D04A2D" w:rsidRPr="007847AA" w:rsidRDefault="00A34F76" w:rsidP="00D47343">
      <w:pPr>
        <w:pStyle w:val="1Arial11BODY"/>
        <w:spacing w:line="240" w:lineRule="auto"/>
      </w:pPr>
      <w:r w:rsidRPr="007847AA">
        <w:rPr>
          <w:b/>
          <w:bCs/>
        </w:rPr>
        <w:t xml:space="preserve">Up to and </w:t>
      </w:r>
      <w:proofErr w:type="gramStart"/>
      <w:r w:rsidR="00505666" w:rsidRPr="007847AA">
        <w:rPr>
          <w:b/>
          <w:bCs/>
        </w:rPr>
        <w:t>I</w:t>
      </w:r>
      <w:r w:rsidRPr="007847AA">
        <w:rPr>
          <w:b/>
          <w:bCs/>
        </w:rPr>
        <w:t>ncluding</w:t>
      </w:r>
      <w:proofErr w:type="gramEnd"/>
      <w:r w:rsidRPr="007847AA">
        <w:rPr>
          <w:b/>
          <w:bCs/>
        </w:rPr>
        <w:t xml:space="preserve"> </w:t>
      </w:r>
      <w:r w:rsidR="00BE0C70" w:rsidRPr="007847AA">
        <w:rPr>
          <w:b/>
          <w:bCs/>
        </w:rPr>
        <w:t>$5,000</w:t>
      </w:r>
      <w:r w:rsidRPr="007847AA">
        <w:rPr>
          <w:b/>
          <w:bCs/>
        </w:rPr>
        <w:t xml:space="preserve"> per</w:t>
      </w:r>
      <w:r w:rsidRPr="007847AA">
        <w:t xml:space="preserve"> </w:t>
      </w:r>
      <w:r w:rsidR="00505666" w:rsidRPr="007847AA">
        <w:rPr>
          <w:b/>
          <w:bCs/>
        </w:rPr>
        <w:t>U</w:t>
      </w:r>
      <w:r w:rsidRPr="007847AA">
        <w:rPr>
          <w:b/>
          <w:bCs/>
        </w:rPr>
        <w:t>nit</w:t>
      </w:r>
      <w:r w:rsidR="00505666" w:rsidRPr="007847AA">
        <w:t xml:space="preserve"> – </w:t>
      </w:r>
      <w:r w:rsidR="00895DB0" w:rsidRPr="007847AA">
        <w:t>When rehabilitation</w:t>
      </w:r>
      <w:r w:rsidRPr="007847AA">
        <w:t xml:space="preserve"> costs</w:t>
      </w:r>
      <w:r w:rsidR="00895DB0" w:rsidRPr="007847AA">
        <w:t xml:space="preserve"> </w:t>
      </w:r>
      <w:r w:rsidR="00230A65" w:rsidRPr="007847AA">
        <w:t>are</w:t>
      </w:r>
      <w:r w:rsidR="007744BB" w:rsidRPr="007847AA">
        <w:t xml:space="preserve"> </w:t>
      </w:r>
      <w:r w:rsidR="00895DB0" w:rsidRPr="007847AA">
        <w:t>$5,000</w:t>
      </w:r>
      <w:r w:rsidRPr="007847AA">
        <w:t xml:space="preserve"> or less</w:t>
      </w:r>
      <w:r w:rsidR="00895DB0" w:rsidRPr="007847AA">
        <w:t xml:space="preserve"> per unit, a jurisdiction must “do no harm.” That is, the jurisdiction must conduct mild lead hazard evaluation and lead hazard reduction. </w:t>
      </w:r>
    </w:p>
    <w:p w14:paraId="336D3915" w14:textId="77777777" w:rsidR="0049764C" w:rsidRPr="007847AA" w:rsidRDefault="00A34F76" w:rsidP="00D47343">
      <w:pPr>
        <w:pStyle w:val="1Arial11BODY"/>
        <w:spacing w:line="240" w:lineRule="auto"/>
      </w:pPr>
      <w:r w:rsidRPr="007847AA">
        <w:rPr>
          <w:b/>
          <w:bCs/>
        </w:rPr>
        <w:t xml:space="preserve">More than </w:t>
      </w:r>
      <w:r w:rsidR="00895DB0" w:rsidRPr="007847AA">
        <w:rPr>
          <w:b/>
          <w:bCs/>
        </w:rPr>
        <w:t>$5,000 and</w:t>
      </w:r>
      <w:r w:rsidRPr="007847AA">
        <w:rPr>
          <w:b/>
          <w:bCs/>
        </w:rPr>
        <w:t xml:space="preserve"> up to</w:t>
      </w:r>
      <w:r w:rsidR="00895DB0" w:rsidRPr="007847AA">
        <w:rPr>
          <w:b/>
          <w:bCs/>
        </w:rPr>
        <w:t xml:space="preserve"> $25,000</w:t>
      </w:r>
      <w:r w:rsidRPr="007847AA">
        <w:rPr>
          <w:b/>
          <w:bCs/>
        </w:rPr>
        <w:t xml:space="preserve"> per </w:t>
      </w:r>
      <w:r w:rsidR="00505666" w:rsidRPr="007847AA">
        <w:rPr>
          <w:b/>
          <w:bCs/>
        </w:rPr>
        <w:t>U</w:t>
      </w:r>
      <w:r w:rsidRPr="007847AA">
        <w:rPr>
          <w:b/>
          <w:bCs/>
        </w:rPr>
        <w:t>nit</w:t>
      </w:r>
      <w:r w:rsidR="00505666" w:rsidRPr="007847AA">
        <w:t xml:space="preserve"> – </w:t>
      </w:r>
      <w:r w:rsidR="00895DB0" w:rsidRPr="007847AA">
        <w:t xml:space="preserve">When rehabilitation </w:t>
      </w:r>
      <w:r w:rsidR="00312EA9" w:rsidRPr="007847AA">
        <w:t>cost</w:t>
      </w:r>
      <w:r w:rsidR="007744BB" w:rsidRPr="007847AA">
        <w:t>s</w:t>
      </w:r>
      <w:r w:rsidR="00312EA9" w:rsidRPr="007847AA">
        <w:t xml:space="preserve"> </w:t>
      </w:r>
      <w:r w:rsidR="00230A65" w:rsidRPr="007847AA">
        <w:t xml:space="preserve">are </w:t>
      </w:r>
      <w:r w:rsidRPr="007847AA">
        <w:t>more than</w:t>
      </w:r>
      <w:r w:rsidR="00895DB0" w:rsidRPr="007847AA">
        <w:t xml:space="preserve"> $5,000 </w:t>
      </w:r>
      <w:r w:rsidRPr="007847AA">
        <w:t>up to</w:t>
      </w:r>
      <w:r w:rsidR="00312EA9" w:rsidRPr="007847AA">
        <w:t xml:space="preserve"> </w:t>
      </w:r>
      <w:r w:rsidR="00895DB0" w:rsidRPr="007847AA">
        <w:t xml:space="preserve">$25,000 per unit, jurisdictions must “identify and control lead hazards.” That is, the jurisdiction must conduct a moderate level of lead hazard evaluation and lead hazard reduction. </w:t>
      </w:r>
    </w:p>
    <w:p w14:paraId="0033A3B0" w14:textId="5E9F3326" w:rsidR="00DB7AAB" w:rsidRPr="007847AA" w:rsidRDefault="00A34F76" w:rsidP="00D47343">
      <w:pPr>
        <w:pStyle w:val="1Arial11BODY"/>
        <w:spacing w:line="240" w:lineRule="auto"/>
      </w:pPr>
      <w:r w:rsidRPr="007847AA">
        <w:rPr>
          <w:b/>
          <w:bCs/>
        </w:rPr>
        <w:t xml:space="preserve">More than </w:t>
      </w:r>
      <w:r w:rsidR="00895DB0" w:rsidRPr="007847AA">
        <w:rPr>
          <w:b/>
          <w:bCs/>
        </w:rPr>
        <w:t xml:space="preserve">$25,000 </w:t>
      </w:r>
      <w:r w:rsidR="007744BB" w:rsidRPr="007847AA">
        <w:rPr>
          <w:b/>
          <w:bCs/>
        </w:rPr>
        <w:t>p</w:t>
      </w:r>
      <w:r w:rsidR="00895DB0" w:rsidRPr="007847AA">
        <w:rPr>
          <w:b/>
          <w:bCs/>
        </w:rPr>
        <w:t xml:space="preserve">er </w:t>
      </w:r>
      <w:r w:rsidR="008F041A" w:rsidRPr="007847AA">
        <w:rPr>
          <w:b/>
          <w:bCs/>
        </w:rPr>
        <w:t>U</w:t>
      </w:r>
      <w:r w:rsidR="00895DB0" w:rsidRPr="007847AA">
        <w:rPr>
          <w:b/>
          <w:bCs/>
        </w:rPr>
        <w:t>nit</w:t>
      </w:r>
      <w:r w:rsidR="00505666" w:rsidRPr="007847AA">
        <w:t xml:space="preserve"> –</w:t>
      </w:r>
      <w:r w:rsidR="004E4444" w:rsidRPr="007847AA">
        <w:t xml:space="preserve"> R</w:t>
      </w:r>
      <w:r w:rsidR="00DB7AAB" w:rsidRPr="007847AA">
        <w:t>ehabilitation</w:t>
      </w:r>
      <w:r w:rsidR="00230A65" w:rsidRPr="007847AA">
        <w:t xml:space="preserve"> costs </w:t>
      </w:r>
      <w:r w:rsidR="00DB7AAB" w:rsidRPr="007847AA">
        <w:t>over $25,000 per unit must meet the following requirements</w:t>
      </w:r>
      <w:r w:rsidR="00505666" w:rsidRPr="007847AA">
        <w:t>:</w:t>
      </w:r>
    </w:p>
    <w:p w14:paraId="581B4E3C" w14:textId="159C8DEA" w:rsidR="00DB7AAB" w:rsidRPr="007847AA" w:rsidRDefault="00DB7AAB" w:rsidP="00D47343">
      <w:pPr>
        <w:pStyle w:val="2BULLETArial11"/>
        <w:spacing w:line="240" w:lineRule="auto"/>
        <w:ind w:left="720"/>
        <w:jc w:val="both"/>
        <w:rPr>
          <w:b/>
          <w:bCs/>
        </w:rPr>
      </w:pPr>
      <w:r w:rsidRPr="007847AA">
        <w:rPr>
          <w:b/>
          <w:bCs/>
        </w:rPr>
        <w:t xml:space="preserve">The </w:t>
      </w:r>
      <w:r w:rsidR="00062207" w:rsidRPr="007847AA">
        <w:rPr>
          <w:b/>
          <w:bCs/>
        </w:rPr>
        <w:t>G</w:t>
      </w:r>
      <w:r w:rsidRPr="007847AA">
        <w:rPr>
          <w:b/>
          <w:bCs/>
        </w:rPr>
        <w:t>oal is to</w:t>
      </w:r>
      <w:r w:rsidRPr="007847AA">
        <w:t xml:space="preserve"> </w:t>
      </w:r>
      <w:r w:rsidR="00062207" w:rsidRPr="007847AA">
        <w:rPr>
          <w:b/>
          <w:bCs/>
        </w:rPr>
        <w:t>I</w:t>
      </w:r>
      <w:r w:rsidRPr="007847AA">
        <w:rPr>
          <w:b/>
          <w:bCs/>
        </w:rPr>
        <w:t xml:space="preserve">dentify and </w:t>
      </w:r>
      <w:r w:rsidR="00062207" w:rsidRPr="007847AA">
        <w:rPr>
          <w:b/>
          <w:bCs/>
        </w:rPr>
        <w:t>E</w:t>
      </w:r>
      <w:r w:rsidRPr="007847AA">
        <w:rPr>
          <w:b/>
          <w:bCs/>
        </w:rPr>
        <w:t xml:space="preserve">liminate </w:t>
      </w:r>
      <w:r w:rsidR="00062207" w:rsidRPr="007847AA">
        <w:rPr>
          <w:b/>
          <w:bCs/>
        </w:rPr>
        <w:t>L</w:t>
      </w:r>
      <w:r w:rsidRPr="007847AA">
        <w:rPr>
          <w:b/>
          <w:bCs/>
        </w:rPr>
        <w:t xml:space="preserve">ead </w:t>
      </w:r>
      <w:r w:rsidR="00062207" w:rsidRPr="007847AA">
        <w:rPr>
          <w:b/>
          <w:bCs/>
        </w:rPr>
        <w:t>H</w:t>
      </w:r>
      <w:r w:rsidRPr="007847AA">
        <w:rPr>
          <w:b/>
          <w:bCs/>
        </w:rPr>
        <w:t>azards</w:t>
      </w:r>
      <w:r w:rsidR="00062207" w:rsidRPr="007847AA">
        <w:t xml:space="preserve"> – </w:t>
      </w:r>
      <w:r w:rsidRPr="007847AA">
        <w:t>A risk assessment is required to identify hazards and any identified hazards must be abated by a certified abatement professional. Abatement</w:t>
      </w:r>
      <w:r w:rsidRPr="007847AA">
        <w:rPr>
          <w:i/>
        </w:rPr>
        <w:t xml:space="preserve"> </w:t>
      </w:r>
      <w:r w:rsidRPr="007847AA">
        <w:t>means any set of measures designed to permanently eliminate</w:t>
      </w:r>
      <w:r w:rsidRPr="007847AA">
        <w:rPr>
          <w:bCs/>
        </w:rPr>
        <w:t xml:space="preserve"> </w:t>
      </w:r>
      <w:r w:rsidRPr="007847AA">
        <w:t>lead-based paint or lead-based paint</w:t>
      </w:r>
      <w:r w:rsidRPr="007847AA">
        <w:rPr>
          <w:b/>
          <w:bCs/>
        </w:rPr>
        <w:t xml:space="preserve"> </w:t>
      </w:r>
      <w:r w:rsidRPr="007847AA">
        <w:t>hazards.</w:t>
      </w:r>
      <w:r w:rsidR="004E4444" w:rsidRPr="007847AA">
        <w:rPr>
          <w:rStyle w:val="FootnoteReference"/>
        </w:rPr>
        <w:footnoteReference w:id="3"/>
      </w:r>
      <w:r w:rsidRPr="007847AA">
        <w:t xml:space="preserve"> </w:t>
      </w:r>
    </w:p>
    <w:p w14:paraId="2A952F96" w14:textId="77777777" w:rsidR="00CB798C" w:rsidRPr="007847AA" w:rsidRDefault="00DB7AAB" w:rsidP="00D47343">
      <w:pPr>
        <w:pStyle w:val="2BULLETArial11"/>
        <w:spacing w:line="240" w:lineRule="auto"/>
        <w:ind w:left="720"/>
        <w:jc w:val="both"/>
        <w:rPr>
          <w:b/>
          <w:u w:val="single"/>
        </w:rPr>
      </w:pPr>
      <w:r w:rsidRPr="007847AA">
        <w:rPr>
          <w:b/>
          <w:bCs/>
        </w:rPr>
        <w:t>Lead</w:t>
      </w:r>
      <w:r w:rsidR="00F35C1D" w:rsidRPr="007847AA">
        <w:rPr>
          <w:b/>
          <w:bCs/>
        </w:rPr>
        <w:t xml:space="preserve"> </w:t>
      </w:r>
      <w:r w:rsidRPr="007847AA">
        <w:rPr>
          <w:b/>
          <w:bCs/>
        </w:rPr>
        <w:t>Hazard Evaluation</w:t>
      </w:r>
      <w:r w:rsidR="00062207" w:rsidRPr="007847AA">
        <w:rPr>
          <w:b/>
          <w:bCs/>
        </w:rPr>
        <w:t xml:space="preserve"> – </w:t>
      </w:r>
      <w:r w:rsidRPr="007847AA">
        <w:t xml:space="preserve">A risk assessment must be conducted prior to rehabilitation to find lead-based paint hazards in assisted units, in common areas that service those units, and on exterior surfaces. The risk assessment must include paint testing of any surfaces to be disturbed by the rehabilitation or </w:t>
      </w:r>
      <w:r w:rsidR="00D04A2D" w:rsidRPr="007847AA">
        <w:t xml:space="preserve">the </w:t>
      </w:r>
      <w:r w:rsidRPr="007847AA">
        <w:t>Grant Recipient may assume that lead-based paint hazards exist.</w:t>
      </w:r>
    </w:p>
    <w:p w14:paraId="384F62E9" w14:textId="77777777" w:rsidR="00DB7AAB" w:rsidRPr="007847AA" w:rsidRDefault="00DB7AAB" w:rsidP="00D47343">
      <w:pPr>
        <w:pStyle w:val="2BULLETArial11"/>
        <w:spacing w:line="240" w:lineRule="auto"/>
        <w:ind w:left="720"/>
        <w:jc w:val="both"/>
        <w:rPr>
          <w:b/>
          <w:u w:val="single"/>
        </w:rPr>
      </w:pPr>
      <w:r w:rsidRPr="007847AA">
        <w:rPr>
          <w:b/>
          <w:bCs/>
        </w:rPr>
        <w:t>Lead Hazard Reduction</w:t>
      </w:r>
      <w:r w:rsidR="00505666" w:rsidRPr="007847AA">
        <w:rPr>
          <w:b/>
          <w:bCs/>
        </w:rPr>
        <w:t xml:space="preserve"> – </w:t>
      </w:r>
      <w:r w:rsidRPr="007847AA">
        <w:t xml:space="preserve">To address hazards identified: </w:t>
      </w:r>
    </w:p>
    <w:p w14:paraId="5892612E" w14:textId="77777777" w:rsidR="00DB7AAB" w:rsidRPr="007847AA" w:rsidRDefault="00DB7AAB" w:rsidP="00D47343">
      <w:pPr>
        <w:pStyle w:val="2BULLETArial11"/>
        <w:numPr>
          <w:ilvl w:val="0"/>
          <w:numId w:val="10"/>
        </w:numPr>
        <w:spacing w:line="240" w:lineRule="auto"/>
        <w:jc w:val="both"/>
        <w:rPr>
          <w:b/>
          <w:u w:val="single"/>
        </w:rPr>
      </w:pPr>
      <w:r w:rsidRPr="007847AA">
        <w:t xml:space="preserve">Abatement must be conducted to reduce all identified lead-based paint hazards except those described below. </w:t>
      </w:r>
      <w:proofErr w:type="gramStart"/>
      <w:r w:rsidRPr="007847AA">
        <w:t>Abatement</w:t>
      </w:r>
      <w:proofErr w:type="gramEnd"/>
      <w:r w:rsidRPr="007847AA">
        <w:t xml:space="preserve"> must be conducted by a certified abatement contractor. </w:t>
      </w:r>
    </w:p>
    <w:p w14:paraId="02A70811" w14:textId="77777777" w:rsidR="00DB7AAB" w:rsidRPr="007847AA" w:rsidRDefault="00DB7AAB" w:rsidP="00D47343">
      <w:pPr>
        <w:pStyle w:val="2BULLETArial11"/>
        <w:numPr>
          <w:ilvl w:val="0"/>
          <w:numId w:val="10"/>
        </w:numPr>
        <w:spacing w:line="240" w:lineRule="auto"/>
        <w:jc w:val="both"/>
        <w:rPr>
          <w:b/>
          <w:u w:val="single"/>
        </w:rPr>
      </w:pPr>
      <w:r w:rsidRPr="007847AA">
        <w:t xml:space="preserve">If lead-based paint hazards are detected during the risk assessment on the exterior surfaces that are not to be disturbed by rehabilitation, interim controls may be completed instead of abatement to reduce these hazards. </w:t>
      </w:r>
    </w:p>
    <w:p w14:paraId="5CED2C4C" w14:textId="77777777" w:rsidR="00671543" w:rsidRPr="007847AA" w:rsidRDefault="00DB7AAB" w:rsidP="00D47343">
      <w:pPr>
        <w:pStyle w:val="2BULLETArial11"/>
        <w:numPr>
          <w:ilvl w:val="0"/>
          <w:numId w:val="10"/>
        </w:numPr>
        <w:spacing w:line="240" w:lineRule="auto"/>
        <w:jc w:val="both"/>
        <w:rPr>
          <w:b/>
          <w:u w:val="single"/>
        </w:rPr>
      </w:pPr>
      <w:r w:rsidRPr="007847AA">
        <w:t xml:space="preserve">Clearance is required when lead hazard reduction activities are complete. </w:t>
      </w:r>
    </w:p>
    <w:p w14:paraId="32AB046D" w14:textId="77777777" w:rsidR="00DB7AAB" w:rsidRPr="007847AA" w:rsidRDefault="00F35C1D" w:rsidP="00D47343">
      <w:pPr>
        <w:pStyle w:val="2BULLETArial11"/>
        <w:spacing w:line="240" w:lineRule="auto"/>
        <w:ind w:left="720"/>
        <w:jc w:val="both"/>
        <w:rPr>
          <w:b/>
          <w:u w:val="single"/>
        </w:rPr>
      </w:pPr>
      <w:r w:rsidRPr="007847AA">
        <w:rPr>
          <w:b/>
          <w:bCs/>
        </w:rPr>
        <w:t xml:space="preserve">Lead Hazard </w:t>
      </w:r>
      <w:r w:rsidR="00DB7AAB" w:rsidRPr="007847AA">
        <w:rPr>
          <w:b/>
          <w:bCs/>
        </w:rPr>
        <w:t>Options</w:t>
      </w:r>
      <w:r w:rsidR="00505666" w:rsidRPr="007847AA">
        <w:t xml:space="preserve"> – </w:t>
      </w:r>
      <w:r w:rsidR="00DB7AAB" w:rsidRPr="007847AA">
        <w:t xml:space="preserve">There are two options, as follows: </w:t>
      </w:r>
    </w:p>
    <w:p w14:paraId="65D590ED" w14:textId="77777777" w:rsidR="00DB7AAB" w:rsidRPr="007847AA" w:rsidRDefault="00DB7AAB" w:rsidP="00D47343">
      <w:pPr>
        <w:pStyle w:val="2BULLETArial11"/>
        <w:numPr>
          <w:ilvl w:val="0"/>
          <w:numId w:val="13"/>
        </w:numPr>
        <w:spacing w:line="240" w:lineRule="auto"/>
        <w:ind w:left="1080"/>
        <w:jc w:val="both"/>
      </w:pPr>
      <w:r w:rsidRPr="007847AA">
        <w:t xml:space="preserve">The Grant Recipient is permitted to presume that lead-based paint hazards exist. In such cases, a risk assessment is not required. The Grant Recipient must abate all applicable painted surfaces that will be disturbed during rehabilitation and all presumed lead hazards. </w:t>
      </w:r>
    </w:p>
    <w:p w14:paraId="6799F7ED" w14:textId="77777777" w:rsidR="00345509" w:rsidRPr="007847AA" w:rsidRDefault="00DB7AAB" w:rsidP="00D47343">
      <w:pPr>
        <w:pStyle w:val="2BULLETArial11"/>
        <w:numPr>
          <w:ilvl w:val="0"/>
          <w:numId w:val="13"/>
        </w:numPr>
        <w:spacing w:line="240" w:lineRule="auto"/>
        <w:ind w:left="1080"/>
        <w:jc w:val="both"/>
      </w:pPr>
      <w:r w:rsidRPr="007847AA">
        <w:t>The Grant Recipient is permitted to conduct a lead hazard screen instead of a risk assessment. The lead</w:t>
      </w:r>
      <w:r w:rsidR="00DF2C37" w:rsidRPr="007847AA">
        <w:t xml:space="preserve"> </w:t>
      </w:r>
      <w:r w:rsidRPr="007847AA">
        <w:t>hazard screen has more stringent requirements and is only recommended in units in good condition. If the lead hazard screen indicates that there is no lead contamination, no lead hazard reduction is required. If the lead</w:t>
      </w:r>
      <w:r w:rsidR="00DF2C37" w:rsidRPr="007847AA">
        <w:t xml:space="preserve"> </w:t>
      </w:r>
      <w:r w:rsidRPr="007847AA">
        <w:t>hazard screen indicates the presence of lead hazards, the Grant Recipient must then conduct a risk assessment</w:t>
      </w:r>
      <w:r w:rsidR="00F124B5" w:rsidRPr="007847AA">
        <w:t xml:space="preserve">. </w:t>
      </w:r>
    </w:p>
    <w:p w14:paraId="4D25D14D" w14:textId="724F4F16" w:rsidR="00DB7AAB" w:rsidRPr="007847AA" w:rsidRDefault="000939C4" w:rsidP="00D47343">
      <w:pPr>
        <w:pStyle w:val="2BULLETArial11"/>
        <w:numPr>
          <w:ilvl w:val="0"/>
          <w:numId w:val="0"/>
        </w:numPr>
        <w:spacing w:line="240" w:lineRule="auto"/>
        <w:ind w:left="1080"/>
      </w:pPr>
      <w:r w:rsidRPr="007847AA">
        <w:rPr>
          <w:b/>
          <w:bCs/>
        </w:rPr>
        <w:t>NOTE</w:t>
      </w:r>
      <w:r w:rsidR="00DB7AAB" w:rsidRPr="007847AA">
        <w:rPr>
          <w:b/>
          <w:bCs/>
        </w:rPr>
        <w:t>:</w:t>
      </w:r>
      <w:r w:rsidR="00DB7AAB" w:rsidRPr="007847AA">
        <w:t xml:space="preserve"> Passing a lead</w:t>
      </w:r>
      <w:r w:rsidR="00DF2C37" w:rsidRPr="007847AA">
        <w:t xml:space="preserve"> </w:t>
      </w:r>
      <w:r w:rsidR="00DB7AAB" w:rsidRPr="007847AA">
        <w:t xml:space="preserve">hazard screen, or a risk assessment, does not eliminate the requirement to perform abatement on lead-based paint hazards created </w:t>
      </w:r>
      <w:proofErr w:type="gramStart"/>
      <w:r w:rsidR="00DB7AAB" w:rsidRPr="007847AA">
        <w:t>as a result of</w:t>
      </w:r>
      <w:proofErr w:type="gramEnd"/>
      <w:r w:rsidR="00DB7AAB" w:rsidRPr="007847AA">
        <w:t xml:space="preserve"> the rehabilitation work. </w:t>
      </w:r>
    </w:p>
    <w:p w14:paraId="3EDB64D1" w14:textId="77777777" w:rsidR="00DB7AAB" w:rsidRPr="007847AA" w:rsidRDefault="00DF2C37" w:rsidP="00D47343">
      <w:pPr>
        <w:pStyle w:val="2BULLETArial11"/>
        <w:spacing w:line="240" w:lineRule="auto"/>
        <w:ind w:left="720"/>
        <w:rPr>
          <w:b/>
          <w:u w:val="single"/>
        </w:rPr>
      </w:pPr>
      <w:r w:rsidRPr="007847AA">
        <w:rPr>
          <w:b/>
          <w:bCs/>
        </w:rPr>
        <w:t>Lead Hazard N</w:t>
      </w:r>
      <w:r w:rsidR="00DB7AAB" w:rsidRPr="007847AA">
        <w:rPr>
          <w:b/>
          <w:bCs/>
        </w:rPr>
        <w:t>otices</w:t>
      </w:r>
      <w:r w:rsidR="00DB7AAB" w:rsidRPr="007847AA">
        <w:t xml:space="preserve"> must be provided to owners and tenants: </w:t>
      </w:r>
    </w:p>
    <w:p w14:paraId="01B78AB5" w14:textId="51A3AF12" w:rsidR="00DB7AAB" w:rsidRPr="007847AA" w:rsidRDefault="00DB7AAB" w:rsidP="00D47343">
      <w:pPr>
        <w:pStyle w:val="2BULLETArial11"/>
        <w:numPr>
          <w:ilvl w:val="0"/>
          <w:numId w:val="11"/>
        </w:numPr>
        <w:spacing w:line="240" w:lineRule="auto"/>
        <w:jc w:val="both"/>
      </w:pPr>
      <w:r w:rsidRPr="007847AA">
        <w:rPr>
          <w:i/>
          <w:iCs w:val="0"/>
        </w:rPr>
        <w:t>EPA’s Protect</w:t>
      </w:r>
      <w:r w:rsidRPr="007847AA">
        <w:rPr>
          <w:rStyle w:val="A01"/>
          <w:rFonts w:ascii="Arial" w:hAnsi="Arial"/>
          <w:b w:val="0"/>
          <w:bCs w:val="0"/>
          <w:i/>
          <w:iCs w:val="0"/>
          <w:color w:val="auto"/>
        </w:rPr>
        <w:t xml:space="preserve"> Your Family from Lead in Your Home</w:t>
      </w:r>
      <w:r w:rsidRPr="007847AA">
        <w:rPr>
          <w:rStyle w:val="A01"/>
          <w:rFonts w:ascii="Arial" w:hAnsi="Arial"/>
          <w:b w:val="0"/>
          <w:bCs w:val="0"/>
          <w:color w:val="auto"/>
        </w:rPr>
        <w:t xml:space="preserve"> brochure</w:t>
      </w:r>
      <w:r w:rsidR="002A566E" w:rsidRPr="007847AA">
        <w:rPr>
          <w:rStyle w:val="A01"/>
          <w:rFonts w:ascii="Arial" w:hAnsi="Arial"/>
          <w:b w:val="0"/>
          <w:bCs w:val="0"/>
          <w:color w:val="auto"/>
        </w:rPr>
        <w:t>, s</w:t>
      </w:r>
      <w:r w:rsidRPr="007847AA">
        <w:t>ee</w:t>
      </w:r>
      <w:r w:rsidR="00D279EF" w:rsidRPr="007847AA">
        <w:t xml:space="preserve"> </w:t>
      </w:r>
      <w:r w:rsidR="0045295B" w:rsidRPr="007847AA">
        <w:t>Appendix A for link</w:t>
      </w:r>
      <w:proofErr w:type="gramStart"/>
      <w:r w:rsidR="00345509" w:rsidRPr="007847AA">
        <w:t>)</w:t>
      </w:r>
      <w:r w:rsidRPr="007847AA">
        <w:t>;</w:t>
      </w:r>
      <w:proofErr w:type="gramEnd"/>
      <w:r w:rsidRPr="007847AA">
        <w:t xml:space="preserve"> </w:t>
      </w:r>
    </w:p>
    <w:p w14:paraId="795100FD" w14:textId="77777777" w:rsidR="00DB7AAB" w:rsidRPr="007847AA" w:rsidRDefault="00DB7AAB" w:rsidP="00D47343">
      <w:pPr>
        <w:pStyle w:val="2BULLETArial11"/>
        <w:numPr>
          <w:ilvl w:val="0"/>
          <w:numId w:val="11"/>
        </w:numPr>
        <w:spacing w:line="240" w:lineRule="auto"/>
        <w:jc w:val="both"/>
      </w:pPr>
      <w:r w:rsidRPr="007847AA">
        <w:t xml:space="preserve">The Notice of Evaluation (if a risk assessment is conducted) or Notice of Presumption (if a risk assessment is not conducted); and </w:t>
      </w:r>
    </w:p>
    <w:p w14:paraId="339FF5CE" w14:textId="77777777" w:rsidR="00DB7AAB" w:rsidRPr="007847AA" w:rsidRDefault="00DB7AAB" w:rsidP="00D47343">
      <w:pPr>
        <w:pStyle w:val="2BULLETArial11"/>
        <w:numPr>
          <w:ilvl w:val="0"/>
          <w:numId w:val="11"/>
        </w:numPr>
        <w:spacing w:line="240" w:lineRule="auto"/>
        <w:jc w:val="both"/>
      </w:pPr>
      <w:r w:rsidRPr="007847AA">
        <w:t xml:space="preserve">The Notice of Lead Hazard Reduction. </w:t>
      </w:r>
    </w:p>
    <w:p w14:paraId="1AA5AF0A" w14:textId="77777777" w:rsidR="00DB7AAB" w:rsidRPr="007847AA" w:rsidRDefault="00DF2C37" w:rsidP="00D47343">
      <w:pPr>
        <w:pStyle w:val="2BULLETArial11"/>
        <w:spacing w:line="240" w:lineRule="auto"/>
        <w:ind w:left="720"/>
      </w:pPr>
      <w:r w:rsidRPr="007847AA">
        <w:rPr>
          <w:b/>
          <w:bCs/>
        </w:rPr>
        <w:t>Lead Safe Housing Rule</w:t>
      </w:r>
      <w:r w:rsidR="00505666" w:rsidRPr="007847AA">
        <w:t xml:space="preserve"> – </w:t>
      </w:r>
      <w:r w:rsidRPr="007847AA">
        <w:t>C</w:t>
      </w:r>
      <w:r w:rsidR="00DB7AAB" w:rsidRPr="007847AA">
        <w:t xml:space="preserve">ompliance with the for such rehabilitation projects will affect the project planning, timeline, scope of work, contracting, and budget. </w:t>
      </w:r>
      <w:proofErr w:type="gramStart"/>
      <w:r w:rsidR="00DB7AAB" w:rsidRPr="007847AA">
        <w:t>In particular, it</w:t>
      </w:r>
      <w:proofErr w:type="gramEnd"/>
      <w:r w:rsidR="00DB7AAB" w:rsidRPr="007847AA">
        <w:t xml:space="preserve"> involves the engagement of a certified abatement contractor.</w:t>
      </w:r>
    </w:p>
    <w:p w14:paraId="694B16BF" w14:textId="77777777" w:rsidR="003F1806" w:rsidRPr="007847AA" w:rsidRDefault="003F1806" w:rsidP="00D47343"/>
    <w:p w14:paraId="25BB8730" w14:textId="77777777" w:rsidR="00CC60AE" w:rsidRPr="007847AA" w:rsidRDefault="00CC60AE" w:rsidP="008D64E2">
      <w:pPr>
        <w:pStyle w:val="Heading2"/>
      </w:pPr>
      <w:bookmarkStart w:id="45" w:name="_Toc97767054"/>
      <w:bookmarkStart w:id="46" w:name="_Toc171794652"/>
      <w:r w:rsidRPr="007847AA">
        <w:t>C 1.</w:t>
      </w:r>
      <w:r w:rsidR="00B26B01" w:rsidRPr="007847AA">
        <w:t>9</w:t>
      </w:r>
      <w:r w:rsidRPr="007847AA">
        <w:t xml:space="preserve"> Work Writeups</w:t>
      </w:r>
      <w:bookmarkEnd w:id="45"/>
      <w:bookmarkEnd w:id="46"/>
    </w:p>
    <w:p w14:paraId="263E098A" w14:textId="77777777" w:rsidR="00B2181B" w:rsidRPr="007847AA" w:rsidRDefault="00B2181B" w:rsidP="008D64E2">
      <w:pPr>
        <w:pStyle w:val="2BULLETArial11"/>
        <w:numPr>
          <w:ilvl w:val="0"/>
          <w:numId w:val="0"/>
        </w:numPr>
        <w:spacing w:line="240" w:lineRule="auto"/>
      </w:pPr>
    </w:p>
    <w:p w14:paraId="3500C974" w14:textId="77777777" w:rsidR="00CC60AE" w:rsidRPr="007847AA" w:rsidRDefault="00CC60AE" w:rsidP="00D47343">
      <w:pPr>
        <w:pStyle w:val="1Arial11BODY"/>
        <w:spacing w:line="240" w:lineRule="auto"/>
      </w:pPr>
      <w:r w:rsidRPr="007847AA">
        <w:t xml:space="preserve">Eligible costs for Housing Unit Rehabilitation are based on the property assessment, known as a Work Writeup.  </w:t>
      </w:r>
    </w:p>
    <w:p w14:paraId="7A3D2434" w14:textId="0F8030B1" w:rsidR="00CC60AE" w:rsidRPr="007847AA" w:rsidRDefault="00CC60AE" w:rsidP="00D47343">
      <w:pPr>
        <w:pStyle w:val="2BULLETArial11"/>
        <w:spacing w:line="240" w:lineRule="auto"/>
        <w:ind w:left="720"/>
        <w:jc w:val="both"/>
      </w:pPr>
      <w:r w:rsidRPr="007847AA">
        <w:t xml:space="preserve">The Grant Recipient must use a certified professional home inspector or a qualified home inspection individual to assess the work necessary to bring each unit up to building standards, The </w:t>
      </w:r>
      <w:r w:rsidRPr="007847AA">
        <w:rPr>
          <w:i/>
        </w:rPr>
        <w:t>Home Inspector Qualification Certification</w:t>
      </w:r>
      <w:r w:rsidRPr="007847AA">
        <w:t xml:space="preserve"> </w:t>
      </w:r>
      <w:r w:rsidRPr="007847AA">
        <w:rPr>
          <w:b/>
          <w:bCs/>
        </w:rPr>
        <w:t>(Form C8)</w:t>
      </w:r>
      <w:r w:rsidRPr="007847AA">
        <w:t xml:space="preserve"> must be completed by the Grant Recipient and kept in the local files. </w:t>
      </w:r>
    </w:p>
    <w:p w14:paraId="16A2E085" w14:textId="77777777" w:rsidR="00CC60AE" w:rsidRPr="007847AA" w:rsidRDefault="00CC60AE" w:rsidP="00D47343">
      <w:pPr>
        <w:pStyle w:val="2BULLETArial11"/>
        <w:numPr>
          <w:ilvl w:val="0"/>
          <w:numId w:val="14"/>
        </w:numPr>
        <w:spacing w:line="240" w:lineRule="auto"/>
        <w:ind w:left="1080"/>
        <w:jc w:val="both"/>
      </w:pPr>
      <w:r w:rsidRPr="007847AA">
        <w:rPr>
          <w:b/>
          <w:bCs/>
        </w:rPr>
        <w:t>Certified Professional Home Inspector</w:t>
      </w:r>
      <w:r w:rsidRPr="007847AA">
        <w:t xml:space="preserve"> – A person who has received current and comprehensive training to enable them to conduct effective inspections. Completion of the training required to be a licensed Texas Real Estate Commission (TREC) inspector would be acceptable evidence of such training.</w:t>
      </w:r>
    </w:p>
    <w:p w14:paraId="018C0B16" w14:textId="77777777" w:rsidR="00CC60AE" w:rsidRPr="007847AA" w:rsidRDefault="00CC60AE" w:rsidP="00D47343">
      <w:pPr>
        <w:pStyle w:val="2BULLETArial11"/>
        <w:numPr>
          <w:ilvl w:val="0"/>
          <w:numId w:val="14"/>
        </w:numPr>
        <w:spacing w:line="240" w:lineRule="auto"/>
        <w:ind w:left="1080"/>
        <w:jc w:val="both"/>
      </w:pPr>
      <w:r w:rsidRPr="007847AA">
        <w:rPr>
          <w:b/>
          <w:bCs/>
        </w:rPr>
        <w:t>Qualified Home Inspection Individual</w:t>
      </w:r>
      <w:r w:rsidRPr="007847AA">
        <w:t xml:space="preserve"> – An individual with professional certifications, relevant education, or minimum five years’ experience in a field directly related to home inspection, including but not limited to installing, servicing, repairing or maintaining the structural, mechanical, plumbing and electrical systems found in single family housing units, as evidenced by inspection logs, certifications, training courses, or other documentation.</w:t>
      </w:r>
    </w:p>
    <w:p w14:paraId="74920A61" w14:textId="46900551" w:rsidR="003E600E" w:rsidRPr="007847AA" w:rsidRDefault="00392DFC" w:rsidP="00D47343">
      <w:pPr>
        <w:pStyle w:val="1Arial11BODY"/>
        <w:spacing w:line="240" w:lineRule="auto"/>
      </w:pPr>
      <w:r w:rsidRPr="007847AA">
        <w:t xml:space="preserve">The Grant Recipient’s inspector </w:t>
      </w:r>
      <w:r w:rsidR="003E600E" w:rsidRPr="007847AA">
        <w:t>must prepare</w:t>
      </w:r>
      <w:r w:rsidRPr="007847AA">
        <w:t xml:space="preserve"> a work write-up and </w:t>
      </w:r>
      <w:r w:rsidRPr="007847AA">
        <w:rPr>
          <w:i/>
        </w:rPr>
        <w:t>Housing Rehabilitation Work Write-up and Cost Estimate Worksheet</w:t>
      </w:r>
      <w:r w:rsidRPr="007847AA">
        <w:t xml:space="preserve"> </w:t>
      </w:r>
      <w:r w:rsidRPr="007847AA">
        <w:rPr>
          <w:b/>
          <w:bCs/>
        </w:rPr>
        <w:t>(Form C3)</w:t>
      </w:r>
      <w:r w:rsidRPr="007847AA">
        <w:t xml:space="preserve"> on each house recommended for rehabilitation</w:t>
      </w:r>
      <w:r w:rsidR="00D47343" w:rsidRPr="007847AA">
        <w:t>.</w:t>
      </w:r>
    </w:p>
    <w:p w14:paraId="21A51EB5" w14:textId="4A991607" w:rsidR="003E600E" w:rsidRPr="007847AA" w:rsidRDefault="003E600E" w:rsidP="00D47343">
      <w:pPr>
        <w:pStyle w:val="2BULLETArial11"/>
        <w:spacing w:line="240" w:lineRule="auto"/>
        <w:ind w:left="720"/>
        <w:jc w:val="both"/>
      </w:pPr>
      <w:r w:rsidRPr="007847AA">
        <w:t xml:space="preserve">The work </w:t>
      </w:r>
      <w:proofErr w:type="gramStart"/>
      <w:r w:rsidRPr="007847AA">
        <w:t>writeup</w:t>
      </w:r>
      <w:proofErr w:type="gramEnd"/>
      <w:r w:rsidRPr="007847AA">
        <w:t xml:space="preserve"> must </w:t>
      </w:r>
      <w:r w:rsidR="00392DFC" w:rsidRPr="007847AA">
        <w:t>including all work necessary to bring the unit up to building standards</w:t>
      </w:r>
      <w:r w:rsidRPr="007847AA">
        <w:t xml:space="preserve"> and</w:t>
      </w:r>
      <w:r w:rsidR="00392DFC" w:rsidRPr="007847AA">
        <w:t xml:space="preserve"> should include enough detailed specifications for items to be competitively bid.</w:t>
      </w:r>
      <w:r w:rsidRPr="007847AA">
        <w:t xml:space="preserve"> The description of the work must include the dimensions of materials </w:t>
      </w:r>
      <w:r w:rsidR="00506BA4" w:rsidRPr="007847AA">
        <w:t>needed.</w:t>
      </w:r>
      <w:r w:rsidRPr="007847AA">
        <w:t xml:space="preserve">  </w:t>
      </w:r>
    </w:p>
    <w:p w14:paraId="5697C152" w14:textId="0CEDD58E" w:rsidR="00392DFC" w:rsidRPr="007847AA" w:rsidRDefault="003E600E" w:rsidP="00D47343">
      <w:pPr>
        <w:pStyle w:val="2BULLETArial11"/>
        <w:spacing w:line="240" w:lineRule="auto"/>
        <w:ind w:left="720"/>
        <w:jc w:val="both"/>
      </w:pPr>
      <w:r w:rsidRPr="007847AA">
        <w:t>In conducting the writeup. t</w:t>
      </w:r>
      <w:r w:rsidR="00392DFC" w:rsidRPr="007847AA">
        <w:t>he homeowner must be provided relevant information for the program,</w:t>
      </w:r>
      <w:r w:rsidRPr="007847AA">
        <w:t xml:space="preserve"> </w:t>
      </w:r>
      <w:r w:rsidR="00392DFC" w:rsidRPr="007847AA">
        <w:t>including</w:t>
      </w:r>
      <w:r w:rsidR="003F1806" w:rsidRPr="007847AA">
        <w:t>:</w:t>
      </w:r>
    </w:p>
    <w:p w14:paraId="16E05024" w14:textId="43D8A009" w:rsidR="00392DFC" w:rsidRPr="007847AA" w:rsidRDefault="00345509" w:rsidP="00D47343">
      <w:pPr>
        <w:pStyle w:val="2BULLETArial11"/>
        <w:numPr>
          <w:ilvl w:val="0"/>
          <w:numId w:val="15"/>
        </w:numPr>
        <w:spacing w:line="240" w:lineRule="auto"/>
        <w:ind w:left="1080"/>
        <w:jc w:val="both"/>
      </w:pPr>
      <w:r w:rsidRPr="007847AA">
        <w:t>A</w:t>
      </w:r>
      <w:r w:rsidR="00392DFC" w:rsidRPr="007847AA">
        <w:t xml:space="preserve"> copy of the Grant Recipient’s housing rehabilitation </w:t>
      </w:r>
      <w:proofErr w:type="gramStart"/>
      <w:r w:rsidR="00392DFC" w:rsidRPr="007847AA">
        <w:t>guidelines;</w:t>
      </w:r>
      <w:proofErr w:type="gramEnd"/>
    </w:p>
    <w:p w14:paraId="366F3764" w14:textId="688059C6" w:rsidR="00392DFC" w:rsidRPr="007847AA" w:rsidRDefault="00345509" w:rsidP="00D47343">
      <w:pPr>
        <w:pStyle w:val="2BULLETArial11"/>
        <w:numPr>
          <w:ilvl w:val="0"/>
          <w:numId w:val="15"/>
        </w:numPr>
        <w:spacing w:line="240" w:lineRule="auto"/>
        <w:ind w:left="1080"/>
        <w:jc w:val="both"/>
      </w:pPr>
      <w:r w:rsidRPr="007847AA">
        <w:t>I</w:t>
      </w:r>
      <w:r w:rsidR="00392DFC" w:rsidRPr="007847AA">
        <w:t xml:space="preserve">nformation explaining the five-year forgivable loan </w:t>
      </w:r>
      <w:proofErr w:type="gramStart"/>
      <w:r w:rsidR="00392DFC" w:rsidRPr="007847AA">
        <w:t>program;</w:t>
      </w:r>
      <w:proofErr w:type="gramEnd"/>
    </w:p>
    <w:p w14:paraId="63ACC7A6" w14:textId="1F00FF56" w:rsidR="00392DFC" w:rsidRPr="007847AA" w:rsidRDefault="00345509" w:rsidP="00D47343">
      <w:pPr>
        <w:pStyle w:val="2BULLETArial11"/>
        <w:numPr>
          <w:ilvl w:val="0"/>
          <w:numId w:val="15"/>
        </w:numPr>
        <w:spacing w:line="240" w:lineRule="auto"/>
        <w:ind w:left="1080"/>
        <w:jc w:val="both"/>
      </w:pPr>
      <w:r w:rsidRPr="007847AA">
        <w:t>A</w:t>
      </w:r>
      <w:r w:rsidR="00392DFC" w:rsidRPr="007847AA">
        <w:t xml:space="preserve"> signed copy of </w:t>
      </w:r>
      <w:r w:rsidR="00392DFC" w:rsidRPr="007847AA">
        <w:rPr>
          <w:i/>
          <w:iCs w:val="0"/>
        </w:rPr>
        <w:t>TxCDBG Housing Rehabilitation Work Write-Up and Cost Estimate Worksheet</w:t>
      </w:r>
      <w:r w:rsidR="00392DFC" w:rsidRPr="007847AA">
        <w:t xml:space="preserve"> </w:t>
      </w:r>
      <w:r w:rsidR="00392DFC" w:rsidRPr="007847AA">
        <w:rPr>
          <w:b/>
          <w:bCs/>
        </w:rPr>
        <w:t>(Form C3);</w:t>
      </w:r>
      <w:r w:rsidR="00392DFC" w:rsidRPr="007847AA">
        <w:t xml:space="preserve"> and</w:t>
      </w:r>
    </w:p>
    <w:p w14:paraId="767420B7" w14:textId="04504A22" w:rsidR="00392DFC" w:rsidRPr="007847AA" w:rsidRDefault="00345509" w:rsidP="00D47343">
      <w:pPr>
        <w:pStyle w:val="2BULLETArial11"/>
        <w:numPr>
          <w:ilvl w:val="0"/>
          <w:numId w:val="15"/>
        </w:numPr>
        <w:spacing w:line="240" w:lineRule="auto"/>
        <w:ind w:left="1080"/>
        <w:jc w:val="both"/>
      </w:pPr>
      <w:r w:rsidRPr="007847AA">
        <w:t>A</w:t>
      </w:r>
      <w:r w:rsidR="00392DFC" w:rsidRPr="007847AA">
        <w:t xml:space="preserve"> copy of the EPA’s</w:t>
      </w:r>
      <w:r w:rsidR="00392DFC" w:rsidRPr="007847AA">
        <w:rPr>
          <w:i/>
          <w:iCs w:val="0"/>
        </w:rPr>
        <w:t xml:space="preserve"> Protect</w:t>
      </w:r>
      <w:r w:rsidR="00392DFC" w:rsidRPr="007847AA">
        <w:rPr>
          <w:rStyle w:val="A01"/>
          <w:rFonts w:ascii="Arial" w:hAnsi="Arial"/>
          <w:b w:val="0"/>
          <w:bCs w:val="0"/>
          <w:i/>
          <w:iCs w:val="0"/>
          <w:color w:val="auto"/>
        </w:rPr>
        <w:t xml:space="preserve"> Your Family from Lead in Your Home brochure</w:t>
      </w:r>
      <w:r w:rsidR="00392DFC" w:rsidRPr="007847AA">
        <w:rPr>
          <w:rStyle w:val="A01"/>
          <w:rFonts w:ascii="Arial" w:hAnsi="Arial"/>
          <w:b w:val="0"/>
          <w:bCs w:val="0"/>
          <w:color w:val="auto"/>
        </w:rPr>
        <w:t>. All</w:t>
      </w:r>
      <w:r w:rsidR="00392DFC" w:rsidRPr="007847AA">
        <w:t xml:space="preserve"> owners and occupants of units built prior to 1978 must receive the required EPA regulations on lead-based paint. </w:t>
      </w:r>
    </w:p>
    <w:p w14:paraId="6017FE85" w14:textId="17389D32" w:rsidR="00392DFC" w:rsidRPr="007847AA" w:rsidRDefault="00392DFC" w:rsidP="00D47343">
      <w:pPr>
        <w:pStyle w:val="1Arial11BODY"/>
        <w:spacing w:line="240" w:lineRule="auto"/>
        <w:ind w:left="1080"/>
      </w:pPr>
      <w:r w:rsidRPr="007847AA">
        <w:rPr>
          <w:b/>
          <w:bCs/>
        </w:rPr>
        <w:t>NOTE</w:t>
      </w:r>
      <w:r w:rsidRPr="007847AA">
        <w:t xml:space="preserve">: The EPA makes available its </w:t>
      </w:r>
      <w:r w:rsidRPr="007847AA">
        <w:rPr>
          <w:i/>
          <w:iCs/>
        </w:rPr>
        <w:t>Protect Your Family from Lead in Your Home</w:t>
      </w:r>
      <w:r w:rsidRPr="007847AA">
        <w:t xml:space="preserve"> brochure in English, Spanish, Vietnamese, Arabic, Russian, and Somali</w:t>
      </w:r>
      <w:r w:rsidR="00345509" w:rsidRPr="007847AA">
        <w:t xml:space="preserve"> (</w:t>
      </w:r>
      <w:r w:rsidRPr="007847AA">
        <w:t>See Appendix A for link</w:t>
      </w:r>
      <w:r w:rsidR="00345509" w:rsidRPr="007847AA">
        <w:t>)</w:t>
      </w:r>
      <w:r w:rsidRPr="007847AA">
        <w:t xml:space="preserve">. </w:t>
      </w:r>
    </w:p>
    <w:p w14:paraId="138C1FD7" w14:textId="77777777" w:rsidR="00392DFC" w:rsidRPr="007847AA" w:rsidRDefault="00392DFC" w:rsidP="00D47343">
      <w:pPr>
        <w:pStyle w:val="2BULLETArial11"/>
        <w:spacing w:line="240" w:lineRule="auto"/>
        <w:ind w:left="720"/>
        <w:jc w:val="both"/>
      </w:pPr>
      <w:r w:rsidRPr="007847AA">
        <w:t>The homeowner must sign the work write-up, indicating (s)he understands and accepts the rehabilitation work that may be performed. Every item noted on the work write-up need not be resolved by the rehabilitation program. The Grant Recipient may prioritize the work and complete only high-priority repairs so long as the house complies with Section 8 and Texas Minimal Construction Standards (TMCS) building standards once the rehabilitation is complete.</w:t>
      </w:r>
      <w:r w:rsidR="001447D9" w:rsidRPr="007847AA">
        <w:t xml:space="preserve"> </w:t>
      </w:r>
      <w:r w:rsidRPr="007847AA">
        <w:t xml:space="preserve">The work write-up should indicate which repairs are necessary to meet building codes and which are optional. </w:t>
      </w:r>
    </w:p>
    <w:p w14:paraId="01AE47B0" w14:textId="2A618182" w:rsidR="003E600E" w:rsidRPr="007847AA" w:rsidRDefault="00392DFC" w:rsidP="00D47343">
      <w:pPr>
        <w:pStyle w:val="2BULLETArial11"/>
        <w:spacing w:line="240" w:lineRule="auto"/>
        <w:ind w:left="720"/>
        <w:jc w:val="both"/>
      </w:pPr>
      <w:r w:rsidRPr="007847AA">
        <w:t xml:space="preserve">TDA recommends requesting initial review of at least one sample work-writeup prior to procuring construction services. To request this technical assistance, submit the document(s) using the </w:t>
      </w:r>
      <w:r w:rsidRPr="007847AA">
        <w:rPr>
          <w:i/>
          <w:iCs w:val="0"/>
        </w:rPr>
        <w:t>Notes</w:t>
      </w:r>
      <w:r w:rsidRPr="007847AA">
        <w:t xml:space="preserve"> page in the TDA-GO system. </w:t>
      </w:r>
    </w:p>
    <w:p w14:paraId="1600D07B" w14:textId="1DC6B89A" w:rsidR="00392DFC" w:rsidRPr="007847AA" w:rsidRDefault="00392DFC" w:rsidP="008D64E2"/>
    <w:p w14:paraId="384AB23D" w14:textId="77777777" w:rsidR="005C729B" w:rsidRPr="007847AA" w:rsidRDefault="005C729B" w:rsidP="008D64E2"/>
    <w:p w14:paraId="24A49771" w14:textId="2E49B31C" w:rsidR="000809AC" w:rsidRPr="007847AA" w:rsidRDefault="000809AC" w:rsidP="008D64E2">
      <w:pPr>
        <w:pStyle w:val="5Arial20BOLD"/>
      </w:pPr>
      <w:bookmarkStart w:id="47" w:name="_Toc97767055"/>
      <w:bookmarkStart w:id="48" w:name="_Toc171794653"/>
      <w:r w:rsidRPr="007847AA">
        <w:t xml:space="preserve">C.2 </w:t>
      </w:r>
      <w:r w:rsidR="00A454E5" w:rsidRPr="007847AA">
        <w:t>On</w:t>
      </w:r>
      <w:r w:rsidR="00506BA4" w:rsidRPr="007847AA">
        <w:rPr>
          <w:b w:val="0"/>
        </w:rPr>
        <w:t>–</w:t>
      </w:r>
      <w:r w:rsidR="00A454E5" w:rsidRPr="007847AA">
        <w:t>Site Sewer Facility</w:t>
      </w:r>
      <w:r w:rsidRPr="007847AA">
        <w:t xml:space="preserve"> (OSSF) </w:t>
      </w:r>
      <w:r w:rsidR="00A454E5" w:rsidRPr="007847AA">
        <w:t>Assistance</w:t>
      </w:r>
      <w:bookmarkEnd w:id="47"/>
      <w:bookmarkEnd w:id="48"/>
    </w:p>
    <w:p w14:paraId="59529640" w14:textId="77777777" w:rsidR="00235CA0" w:rsidRPr="007847AA" w:rsidRDefault="00235CA0" w:rsidP="008D64E2"/>
    <w:p w14:paraId="505B0B09" w14:textId="77777777" w:rsidR="000809AC" w:rsidRPr="007847AA" w:rsidRDefault="000809AC" w:rsidP="008D64E2">
      <w:pPr>
        <w:pStyle w:val="1Arial11BODY"/>
        <w:spacing w:line="240" w:lineRule="auto"/>
        <w:rPr>
          <w:lang w:val="en"/>
        </w:rPr>
      </w:pPr>
      <w:r w:rsidRPr="007847AA">
        <w:rPr>
          <w:lang w:val="en"/>
        </w:rPr>
        <w:t xml:space="preserve">For projects that include the provision of first-time on-site sewage facilities or replacement of on-site sewage facilities, the installation of septic systems on private property is considered a housing rehabilitation activity and must meet the housing activity criteria under the TxCDBG Program. TxCDBG funds will only pay for the systems that are located on private property for low- to moderate-income (LMI) residents, including owner-occupied and renter-occupied units.  </w:t>
      </w:r>
    </w:p>
    <w:p w14:paraId="4FC346CA" w14:textId="77777777" w:rsidR="000809AC" w:rsidRPr="007847AA" w:rsidRDefault="000809AC" w:rsidP="008D64E2">
      <w:pPr>
        <w:pStyle w:val="1BODY-Arial11justified"/>
        <w:spacing w:line="240" w:lineRule="auto"/>
        <w:rPr>
          <w:color w:val="auto"/>
        </w:rPr>
      </w:pPr>
    </w:p>
    <w:p w14:paraId="117F8A27" w14:textId="72B16FEF" w:rsidR="000809AC" w:rsidRPr="007847AA" w:rsidRDefault="000809AC" w:rsidP="00D47343">
      <w:pPr>
        <w:pStyle w:val="1Arial11BODY"/>
        <w:spacing w:line="240" w:lineRule="auto"/>
      </w:pPr>
      <w:r w:rsidRPr="007847AA">
        <w:t>On the state level OSSF activities are governed by</w:t>
      </w:r>
      <w:r w:rsidR="003F1806" w:rsidRPr="007847AA">
        <w:t>:</w:t>
      </w:r>
    </w:p>
    <w:p w14:paraId="64E3BAAE" w14:textId="77777777" w:rsidR="000809AC" w:rsidRPr="007847AA" w:rsidRDefault="00000000" w:rsidP="00D47343">
      <w:pPr>
        <w:pStyle w:val="2BULLETArial11"/>
        <w:spacing w:line="240" w:lineRule="auto"/>
        <w:ind w:left="720"/>
        <w:jc w:val="both"/>
        <w:rPr>
          <w:lang w:val="en"/>
        </w:rPr>
      </w:pPr>
      <w:hyperlink r:id="rId15" w:tgtFrame="_blank" w:history="1">
        <w:r w:rsidR="000809AC" w:rsidRPr="007847AA">
          <w:rPr>
            <w:b/>
            <w:bCs/>
            <w:u w:val="single"/>
            <w:bdr w:val="none" w:sz="0" w:space="0" w:color="auto" w:frame="1"/>
            <w:lang w:val="en"/>
          </w:rPr>
          <w:t>Title 30 Texas Administrative Code (TAC), Chapter 285, Subchapter A</w:t>
        </w:r>
      </w:hyperlink>
      <w:r w:rsidR="000809AC" w:rsidRPr="007847AA">
        <w:rPr>
          <w:lang w:val="en"/>
        </w:rPr>
        <w:t xml:space="preserve"> – Contains the rules for OSSF application and permit requirements.</w:t>
      </w:r>
    </w:p>
    <w:p w14:paraId="0F7D8E1D" w14:textId="77777777" w:rsidR="000809AC" w:rsidRPr="007847AA" w:rsidRDefault="00000000" w:rsidP="00D47343">
      <w:pPr>
        <w:pStyle w:val="2BULLETArial11"/>
        <w:spacing w:line="240" w:lineRule="auto"/>
        <w:ind w:left="720"/>
        <w:jc w:val="both"/>
        <w:rPr>
          <w:lang w:val="en"/>
        </w:rPr>
      </w:pPr>
      <w:hyperlink r:id="rId16" w:tgtFrame="_blank" w:history="1">
        <w:r w:rsidR="000809AC" w:rsidRPr="007847AA">
          <w:rPr>
            <w:rStyle w:val="Hyperlink"/>
            <w:b/>
            <w:bCs/>
            <w:color w:val="auto"/>
            <w:bdr w:val="none" w:sz="0" w:space="0" w:color="auto" w:frame="1"/>
            <w:lang w:val="en"/>
          </w:rPr>
          <w:t>Title 30 Texas Administrative Code (TAC), Chapter 285, Subchapter D</w:t>
        </w:r>
      </w:hyperlink>
      <w:r w:rsidR="000809AC" w:rsidRPr="007847AA">
        <w:rPr>
          <w:lang w:val="en"/>
        </w:rPr>
        <w:t xml:space="preserve"> – Contains the rules for planning, construction, and installation of an OSSF.</w:t>
      </w:r>
    </w:p>
    <w:p w14:paraId="5EC1AD66" w14:textId="77777777" w:rsidR="00392DFC" w:rsidRPr="007847AA" w:rsidRDefault="00000000" w:rsidP="00D47343">
      <w:pPr>
        <w:pStyle w:val="2BULLETArial11"/>
        <w:spacing w:line="240" w:lineRule="auto"/>
        <w:ind w:left="720"/>
        <w:jc w:val="both"/>
        <w:rPr>
          <w:lang w:val="en"/>
        </w:rPr>
      </w:pPr>
      <w:hyperlink r:id="rId17" w:tgtFrame="_blank" w:history="1">
        <w:r w:rsidR="000809AC" w:rsidRPr="007847AA">
          <w:rPr>
            <w:b/>
            <w:bCs/>
            <w:u w:val="single"/>
            <w:bdr w:val="none" w:sz="0" w:space="0" w:color="auto" w:frame="1"/>
            <w:lang w:val="en"/>
          </w:rPr>
          <w:t>Texas Health and Safety Code Chapter 366, Subchapter D</w:t>
        </w:r>
      </w:hyperlink>
      <w:r w:rsidR="000809AC" w:rsidRPr="007847AA">
        <w:rPr>
          <w:b/>
          <w:bCs/>
          <w:lang w:val="en"/>
        </w:rPr>
        <w:t xml:space="preserve"> </w:t>
      </w:r>
      <w:r w:rsidR="000809AC" w:rsidRPr="007847AA">
        <w:rPr>
          <w:lang w:val="en"/>
        </w:rPr>
        <w:t>– Refers to the state law that governs the OSSF permitting program.</w:t>
      </w:r>
    </w:p>
    <w:p w14:paraId="1984D79D" w14:textId="77777777" w:rsidR="00392DFC" w:rsidRPr="007847AA" w:rsidRDefault="00392DFC" w:rsidP="008D64E2"/>
    <w:p w14:paraId="18505C7B" w14:textId="77777777" w:rsidR="00392DFC" w:rsidRPr="007847AA" w:rsidRDefault="00392DFC" w:rsidP="008D64E2">
      <w:pPr>
        <w:pStyle w:val="Heading2"/>
      </w:pPr>
      <w:bookmarkStart w:id="49" w:name="_Toc97767056"/>
      <w:bookmarkStart w:id="50" w:name="_Toc171794654"/>
      <w:r w:rsidRPr="007847AA">
        <w:t>C.2.1 Costs</w:t>
      </w:r>
      <w:bookmarkEnd w:id="49"/>
      <w:bookmarkEnd w:id="50"/>
    </w:p>
    <w:p w14:paraId="5DF8A83C" w14:textId="77777777" w:rsidR="00392DFC" w:rsidRPr="007847AA" w:rsidRDefault="00392DFC" w:rsidP="00D47343">
      <w:pPr>
        <w:pStyle w:val="1Arial11BODY"/>
        <w:spacing w:line="240" w:lineRule="auto"/>
      </w:pPr>
    </w:p>
    <w:p w14:paraId="275ADF90" w14:textId="77777777" w:rsidR="00392DFC" w:rsidRPr="007847AA" w:rsidRDefault="00392DFC" w:rsidP="00D47343">
      <w:pPr>
        <w:pStyle w:val="1Arial11BODY"/>
        <w:spacing w:line="240" w:lineRule="auto"/>
      </w:pPr>
      <w:r w:rsidRPr="007847AA">
        <w:t>Generally, engineering costs for design will not be considered an eligible cost unless the site location and size of the lot requires engineering by TCEQ regulations.</w:t>
      </w:r>
    </w:p>
    <w:p w14:paraId="643F6204" w14:textId="77777777" w:rsidR="00392DFC" w:rsidRPr="007847AA" w:rsidRDefault="00392DFC" w:rsidP="00D47343">
      <w:pPr>
        <w:pStyle w:val="2BULLETArial11"/>
        <w:numPr>
          <w:ilvl w:val="0"/>
          <w:numId w:val="0"/>
        </w:numPr>
        <w:spacing w:line="240" w:lineRule="auto"/>
        <w:jc w:val="both"/>
      </w:pPr>
    </w:p>
    <w:p w14:paraId="6EA010F6" w14:textId="77777777" w:rsidR="00392DFC" w:rsidRPr="007847AA" w:rsidRDefault="00392DFC" w:rsidP="00D47343">
      <w:pPr>
        <w:pStyle w:val="1Arial11BODY"/>
        <w:spacing w:line="240" w:lineRule="auto"/>
      </w:pPr>
      <w:r w:rsidRPr="007847AA">
        <w:t>However, each OSSF location requires a soil evaluation to determine the most appropriate system to install.</w:t>
      </w:r>
    </w:p>
    <w:p w14:paraId="7E9F1D75" w14:textId="3F2C68F3" w:rsidR="00345509" w:rsidRPr="007847AA" w:rsidRDefault="00392DFC" w:rsidP="005212F9">
      <w:pPr>
        <w:pStyle w:val="2BULLETArial11"/>
        <w:spacing w:line="240" w:lineRule="auto"/>
        <w:ind w:left="720"/>
        <w:jc w:val="both"/>
      </w:pPr>
      <w:r w:rsidRPr="007847AA">
        <w:t xml:space="preserve">The Grant Recipient shall use the TCEQ licensed list and notify at least three qualified </w:t>
      </w:r>
      <w:r w:rsidR="002B04E2" w:rsidRPr="007847AA">
        <w:t>s</w:t>
      </w:r>
      <w:r w:rsidRPr="007847AA">
        <w:t xml:space="preserve">ite </w:t>
      </w:r>
      <w:proofErr w:type="gramStart"/>
      <w:r w:rsidR="002B04E2" w:rsidRPr="007847AA">
        <w:t>e</w:t>
      </w:r>
      <w:r w:rsidRPr="007847AA">
        <w:t>valuators</w:t>
      </w:r>
      <w:r w:rsidR="003F1806" w:rsidRPr="007847AA">
        <w:t>:</w:t>
      </w:r>
      <w:r w:rsidR="00345509" w:rsidRPr="007847AA">
        <w:t>.</w:t>
      </w:r>
      <w:proofErr w:type="gramEnd"/>
    </w:p>
    <w:p w14:paraId="0DB7A196" w14:textId="247E92F3" w:rsidR="00392DFC" w:rsidRPr="007847AA" w:rsidRDefault="001447D9" w:rsidP="005212F9">
      <w:pPr>
        <w:pStyle w:val="2BULLETArial11"/>
        <w:numPr>
          <w:ilvl w:val="0"/>
          <w:numId w:val="0"/>
        </w:numPr>
        <w:spacing w:line="240" w:lineRule="auto"/>
        <w:ind w:left="720"/>
        <w:jc w:val="both"/>
      </w:pPr>
      <w:r w:rsidRPr="007847AA">
        <w:rPr>
          <w:b/>
          <w:bCs/>
        </w:rPr>
        <w:t>BEST</w:t>
      </w:r>
      <w:r w:rsidRPr="007847AA">
        <w:t xml:space="preserve"> </w:t>
      </w:r>
      <w:r w:rsidRPr="007847AA">
        <w:rPr>
          <w:b/>
          <w:bCs/>
        </w:rPr>
        <w:t>PRACTICE</w:t>
      </w:r>
      <w:r w:rsidRPr="007847AA">
        <w:t>:</w:t>
      </w:r>
      <w:r w:rsidR="00392DFC" w:rsidRPr="007847AA">
        <w:t xml:space="preserve"> </w:t>
      </w:r>
      <w:r w:rsidR="00345509" w:rsidRPr="007847AA">
        <w:t>Notify at least f</w:t>
      </w:r>
      <w:r w:rsidR="00392DFC" w:rsidRPr="007847AA">
        <w:t>ive</w:t>
      </w:r>
      <w:r w:rsidRPr="007847AA">
        <w:t xml:space="preserve"> evaluators</w:t>
      </w:r>
      <w:r w:rsidR="00392DFC" w:rsidRPr="007847AA">
        <w:t xml:space="preserve"> in the area for quotes. Evaluators must be licensed by TCEQ. Search for TCEQ licensing and registration information </w:t>
      </w:r>
      <w:r w:rsidR="00345509" w:rsidRPr="007847AA">
        <w:t>(</w:t>
      </w:r>
      <w:r w:rsidR="00392DFC" w:rsidRPr="007847AA">
        <w:t>See Appendix A for link</w:t>
      </w:r>
      <w:r w:rsidR="00345509" w:rsidRPr="007847AA">
        <w:t>).</w:t>
      </w:r>
    </w:p>
    <w:p w14:paraId="58BEA07A" w14:textId="607FD0AA" w:rsidR="00392DFC" w:rsidRPr="007847AA" w:rsidRDefault="00392DFC" w:rsidP="005212F9">
      <w:pPr>
        <w:pStyle w:val="2BULLETArial11"/>
        <w:spacing w:line="240" w:lineRule="auto"/>
        <w:ind w:left="720"/>
        <w:jc w:val="both"/>
      </w:pPr>
      <w:r w:rsidRPr="007847AA">
        <w:t>The Grant Recipient may opt to procure and expend fund</w:t>
      </w:r>
      <w:r w:rsidR="00D729A3" w:rsidRPr="007847AA">
        <w:t>s</w:t>
      </w:r>
      <w:r w:rsidRPr="007847AA">
        <w:t xml:space="preserve"> for the soil evaluation as an engineering cost (if approved), or as a construction cost</w:t>
      </w:r>
      <w:r w:rsidR="00345509" w:rsidRPr="007847AA">
        <w:t>, s</w:t>
      </w:r>
      <w:r w:rsidRPr="007847AA">
        <w:t xml:space="preserve">ee </w:t>
      </w:r>
      <w:r w:rsidRPr="007847AA">
        <w:rPr>
          <w:i/>
          <w:iCs w:val="0"/>
        </w:rPr>
        <w:t>Chapter 2</w:t>
      </w:r>
      <w:r w:rsidR="00345509" w:rsidRPr="007847AA">
        <w:rPr>
          <w:i/>
          <w:iCs w:val="0"/>
        </w:rPr>
        <w:t xml:space="preserve"> Financial Management</w:t>
      </w:r>
      <w:r w:rsidRPr="007847AA">
        <w:t>.</w:t>
      </w:r>
    </w:p>
    <w:p w14:paraId="241F4FE0" w14:textId="462CD07C" w:rsidR="009A4A6C" w:rsidRPr="007847AA" w:rsidRDefault="009A4A6C" w:rsidP="005212F9">
      <w:pPr>
        <w:pStyle w:val="2BULLETArial11"/>
        <w:ind w:left="720"/>
      </w:pPr>
      <w:r w:rsidRPr="007847AA">
        <w:t>The Grant Recipient must follow all state and federal laws and guidelines when procuring construction services for the installation of the septic systems</w:t>
      </w:r>
      <w:r w:rsidR="009E7366" w:rsidRPr="007847AA">
        <w:t>, s</w:t>
      </w:r>
      <w:r w:rsidRPr="007847AA">
        <w:t xml:space="preserve">ee </w:t>
      </w:r>
      <w:r w:rsidRPr="007847AA">
        <w:rPr>
          <w:i/>
        </w:rPr>
        <w:t>Chapter 5 Procurement Procedures</w:t>
      </w:r>
      <w:r w:rsidRPr="007847AA">
        <w:t>. Installers must be licensed by TCEQ. To search TCEQ licensing and registration information</w:t>
      </w:r>
      <w:r w:rsidR="009E7366" w:rsidRPr="007847AA">
        <w:t>, s</w:t>
      </w:r>
      <w:r w:rsidRPr="007847AA">
        <w:t>ee Appendix A for link.</w:t>
      </w:r>
    </w:p>
    <w:p w14:paraId="6047F8E6" w14:textId="77777777" w:rsidR="00D729A3" w:rsidRPr="007847AA" w:rsidRDefault="009A4A6C" w:rsidP="005212F9">
      <w:pPr>
        <w:pStyle w:val="2BULLETArial11"/>
        <w:ind w:left="720"/>
      </w:pPr>
      <w:r w:rsidRPr="007847AA">
        <w:t xml:space="preserve">Grant Recipient shall send the soil evaluations for each septic system to be installed to the list of qualified/licensed installers for quotes. </w:t>
      </w:r>
    </w:p>
    <w:p w14:paraId="4CAEF27E" w14:textId="77777777" w:rsidR="00D47343" w:rsidRPr="007847AA" w:rsidRDefault="00D47343" w:rsidP="005212F9">
      <w:pPr>
        <w:pStyle w:val="1Arial11BODY"/>
        <w:spacing w:line="240" w:lineRule="auto"/>
        <w:ind w:left="360"/>
      </w:pPr>
    </w:p>
    <w:p w14:paraId="6B7A6844" w14:textId="7172658E" w:rsidR="00345509" w:rsidRPr="007847AA" w:rsidRDefault="00D729A3" w:rsidP="008D64E2">
      <w:pPr>
        <w:pStyle w:val="1Arial11BODY"/>
        <w:spacing w:line="240" w:lineRule="auto"/>
      </w:pPr>
      <w:r w:rsidRPr="007847AA">
        <w:t xml:space="preserve">The OSSF installer must also be licensed by TCEQ.  </w:t>
      </w:r>
      <w:r w:rsidR="009A4A6C" w:rsidRPr="007847AA">
        <w:t>Installer must bid unit prices that specifically itemize</w:t>
      </w:r>
      <w:r w:rsidR="00345509" w:rsidRPr="007847AA">
        <w:t>:</w:t>
      </w:r>
    </w:p>
    <w:p w14:paraId="76B9F463" w14:textId="7CD018BE" w:rsidR="00345509" w:rsidRPr="007847AA" w:rsidRDefault="00345509" w:rsidP="008D64E2">
      <w:pPr>
        <w:pStyle w:val="1Arial11BODY"/>
        <w:numPr>
          <w:ilvl w:val="0"/>
          <w:numId w:val="29"/>
        </w:numPr>
        <w:spacing w:line="240" w:lineRule="auto"/>
      </w:pPr>
      <w:r w:rsidRPr="007847AA">
        <w:t>P</w:t>
      </w:r>
      <w:r w:rsidR="009A4A6C" w:rsidRPr="007847AA">
        <w:t xml:space="preserve">lumbing </w:t>
      </w:r>
      <w:proofErr w:type="gramStart"/>
      <w:r w:rsidR="009A4A6C" w:rsidRPr="007847AA">
        <w:t>improvements</w:t>
      </w:r>
      <w:r w:rsidRPr="007847AA">
        <w:t>;</w:t>
      </w:r>
      <w:proofErr w:type="gramEnd"/>
      <w:r w:rsidR="009A4A6C" w:rsidRPr="007847AA">
        <w:t xml:space="preserve"> </w:t>
      </w:r>
    </w:p>
    <w:p w14:paraId="7850AB16" w14:textId="2837A6D7" w:rsidR="00345509" w:rsidRPr="007847AA" w:rsidRDefault="00345509" w:rsidP="008D64E2">
      <w:pPr>
        <w:pStyle w:val="1Arial11BODY"/>
        <w:numPr>
          <w:ilvl w:val="0"/>
          <w:numId w:val="29"/>
        </w:numPr>
        <w:spacing w:line="240" w:lineRule="auto"/>
      </w:pPr>
      <w:r w:rsidRPr="007847AA">
        <w:t>B</w:t>
      </w:r>
      <w:r w:rsidR="009A4A6C" w:rsidRPr="007847AA">
        <w:t>asic installation and connection</w:t>
      </w:r>
      <w:r w:rsidRPr="007847AA">
        <w:t>; and</w:t>
      </w:r>
    </w:p>
    <w:p w14:paraId="7BC457AB" w14:textId="46F365A5" w:rsidR="00345509" w:rsidRPr="007847AA" w:rsidRDefault="00345509" w:rsidP="008D64E2">
      <w:pPr>
        <w:pStyle w:val="1Arial11BODY"/>
        <w:numPr>
          <w:ilvl w:val="0"/>
          <w:numId w:val="29"/>
        </w:numPr>
        <w:spacing w:line="240" w:lineRule="auto"/>
      </w:pPr>
      <w:r w:rsidRPr="007847AA">
        <w:t>M</w:t>
      </w:r>
      <w:r w:rsidR="009A4A6C" w:rsidRPr="007847AA">
        <w:t xml:space="preserve">itigation. </w:t>
      </w:r>
    </w:p>
    <w:p w14:paraId="67E9E970" w14:textId="77777777" w:rsidR="00345509" w:rsidRPr="007847AA" w:rsidRDefault="00345509" w:rsidP="008D64E2">
      <w:pPr>
        <w:pStyle w:val="1Arial11BODY"/>
        <w:spacing w:line="240" w:lineRule="auto"/>
      </w:pPr>
    </w:p>
    <w:p w14:paraId="4424760F" w14:textId="5AA786C4" w:rsidR="009A4A6C" w:rsidRPr="007847AA" w:rsidRDefault="009A4A6C" w:rsidP="008D64E2">
      <w:pPr>
        <w:pStyle w:val="1Arial11BODY"/>
        <w:spacing w:line="240" w:lineRule="auto"/>
      </w:pPr>
      <w:r w:rsidRPr="007847AA">
        <w:t>If bid prices vary by property location, the address must be identified for each line item.</w:t>
      </w:r>
    </w:p>
    <w:p w14:paraId="45D1E382" w14:textId="77777777" w:rsidR="009A4A6C" w:rsidRPr="007847AA" w:rsidRDefault="009A4A6C" w:rsidP="008D64E2">
      <w:pPr>
        <w:ind w:left="720"/>
        <w:jc w:val="both"/>
        <w:rPr>
          <w:rFonts w:cs="Arial"/>
          <w:b/>
          <w:szCs w:val="22"/>
          <w:u w:val="single"/>
        </w:rPr>
      </w:pPr>
    </w:p>
    <w:p w14:paraId="2011C5B3" w14:textId="77777777" w:rsidR="00392DFC" w:rsidRPr="007847AA" w:rsidRDefault="00392DFC" w:rsidP="008D64E2">
      <w:pPr>
        <w:ind w:left="720"/>
        <w:jc w:val="both"/>
        <w:rPr>
          <w:rFonts w:cs="Arial"/>
          <w:b/>
          <w:szCs w:val="22"/>
          <w:u w:val="single"/>
        </w:rPr>
      </w:pPr>
    </w:p>
    <w:p w14:paraId="64DA24D7" w14:textId="13CEFFD7" w:rsidR="00A454E5" w:rsidRPr="007847AA" w:rsidRDefault="00A454E5" w:rsidP="008D64E2">
      <w:pPr>
        <w:pStyle w:val="5Arial20BOLD"/>
      </w:pPr>
      <w:bookmarkStart w:id="51" w:name="_Toc97767057"/>
      <w:bookmarkStart w:id="52" w:name="_Toc171794655"/>
      <w:r w:rsidRPr="007847AA">
        <w:t xml:space="preserve">C.3 </w:t>
      </w:r>
      <w:bookmarkStart w:id="53" w:name="_Toc10048159"/>
      <w:r w:rsidRPr="007847AA">
        <w:t>First</w:t>
      </w:r>
      <w:r w:rsidR="00506BA4" w:rsidRPr="007847AA">
        <w:rPr>
          <w:b w:val="0"/>
        </w:rPr>
        <w:t>–</w:t>
      </w:r>
      <w:r w:rsidRPr="007847AA">
        <w:t xml:space="preserve">Time (Scattered) </w:t>
      </w:r>
      <w:bookmarkEnd w:id="53"/>
      <w:r w:rsidR="00B44D22" w:rsidRPr="007847AA">
        <w:t>Yard line</w:t>
      </w:r>
      <w:r w:rsidRPr="007847AA">
        <w:t xml:space="preserve"> Assistance</w:t>
      </w:r>
      <w:bookmarkEnd w:id="51"/>
      <w:bookmarkEnd w:id="52"/>
    </w:p>
    <w:p w14:paraId="1FC42A84" w14:textId="77777777" w:rsidR="00A454E5" w:rsidRPr="007847AA" w:rsidRDefault="00A454E5" w:rsidP="008D64E2">
      <w:pPr>
        <w:ind w:left="720"/>
        <w:jc w:val="both"/>
        <w:rPr>
          <w:rFonts w:cs="Arial"/>
          <w:b/>
          <w:szCs w:val="22"/>
          <w:u w:val="single"/>
        </w:rPr>
      </w:pPr>
    </w:p>
    <w:p w14:paraId="439FDEB2" w14:textId="2A1585FD" w:rsidR="00A454E5" w:rsidRPr="007847AA" w:rsidRDefault="00A454E5" w:rsidP="008D64E2">
      <w:pPr>
        <w:pStyle w:val="1Arial11BODY"/>
        <w:spacing w:line="240" w:lineRule="auto"/>
        <w:rPr>
          <w:rFonts w:ascii="Segoe UI" w:hAnsi="Segoe UI" w:cs="Segoe UI"/>
          <w:sz w:val="21"/>
          <w:szCs w:val="21"/>
        </w:rPr>
      </w:pPr>
      <w:r w:rsidRPr="007847AA">
        <w:t xml:space="preserve">For projects that include the provision of scattered first-time water or sewer </w:t>
      </w:r>
      <w:r w:rsidR="00B44D22" w:rsidRPr="007847AA">
        <w:t>yard line</w:t>
      </w:r>
      <w:r w:rsidRPr="007847AA">
        <w:t xml:space="preserve"> (also known as house-to-line connection) installation, the installation of </w:t>
      </w:r>
      <w:r w:rsidR="00B44D22" w:rsidRPr="007847AA">
        <w:t>yard line</w:t>
      </w:r>
      <w:r w:rsidRPr="007847AA">
        <w:t xml:space="preserve">s on private property is considered a housing rehabilitation activity and must meet the housing activity criteria under the TxCDBG Program. TxCDBG funds will only pay for first-time </w:t>
      </w:r>
      <w:r w:rsidR="00B44D22" w:rsidRPr="007847AA">
        <w:t>yard line</w:t>
      </w:r>
      <w:r w:rsidRPr="007847AA">
        <w:t xml:space="preserve"> installation on private property of low- to moderate-income (LMI) persons.</w:t>
      </w:r>
    </w:p>
    <w:p w14:paraId="672F3D36" w14:textId="77777777" w:rsidR="000721F2" w:rsidRPr="007847AA" w:rsidRDefault="000721F2" w:rsidP="008D64E2">
      <w:pPr>
        <w:pStyle w:val="1BODY-Arial11justified"/>
        <w:spacing w:line="240" w:lineRule="auto"/>
        <w:rPr>
          <w:color w:val="auto"/>
        </w:rPr>
      </w:pPr>
    </w:p>
    <w:p w14:paraId="1A4C25B3" w14:textId="16C2126E" w:rsidR="000721F2" w:rsidRPr="007847AA" w:rsidRDefault="000721F2" w:rsidP="008D64E2">
      <w:pPr>
        <w:pStyle w:val="1Arial11BODY"/>
        <w:spacing w:line="240" w:lineRule="auto"/>
      </w:pPr>
      <w:r w:rsidRPr="007847AA">
        <w:t xml:space="preserve">If first-time </w:t>
      </w:r>
      <w:r w:rsidR="00B44D22" w:rsidRPr="007847AA">
        <w:t>yard line</w:t>
      </w:r>
      <w:r w:rsidRPr="007847AA">
        <w:t>s are replacing an OSSF or other sewage disposal method, the installer/contractor and Grant Recipient must certify that all sewage systems have been decommissioned as inoperable and fully mitigated in accordance with Title 30, Subchapter D, Chapter 285 of the Texas Administrative Code and any applicable local codes.</w:t>
      </w:r>
      <w:r w:rsidR="003C4EDC" w:rsidRPr="007847AA">
        <w:t xml:space="preserve"> </w:t>
      </w:r>
      <w:r w:rsidRPr="007847AA">
        <w:t>Evidence of this mitigation may include a line item in the construction contract</w:t>
      </w:r>
      <w:r w:rsidR="003C4EDC" w:rsidRPr="007847AA">
        <w:t xml:space="preserve">, </w:t>
      </w:r>
      <w:r w:rsidRPr="007847AA">
        <w:t>documented as completed through pay estimates and the COCC</w:t>
      </w:r>
      <w:r w:rsidR="003C4EDC" w:rsidRPr="007847AA">
        <w:t xml:space="preserve">, </w:t>
      </w:r>
      <w:r w:rsidRPr="007847AA">
        <w:t>or a separate certification statement prepared and submitted by the Grant Recipient.</w:t>
      </w:r>
    </w:p>
    <w:p w14:paraId="764EF8C6" w14:textId="77777777" w:rsidR="00A454E5" w:rsidRPr="007847AA" w:rsidRDefault="00A454E5" w:rsidP="008D64E2">
      <w:pPr>
        <w:jc w:val="both"/>
        <w:rPr>
          <w:rFonts w:cs="Arial"/>
          <w:b/>
          <w:szCs w:val="22"/>
          <w:u w:val="single"/>
        </w:rPr>
      </w:pPr>
    </w:p>
    <w:p w14:paraId="4EAABF56" w14:textId="77777777" w:rsidR="0049764C" w:rsidRPr="007847AA" w:rsidRDefault="0049764C" w:rsidP="008D64E2">
      <w:pPr>
        <w:rPr>
          <w:szCs w:val="22"/>
        </w:rPr>
      </w:pPr>
    </w:p>
    <w:p w14:paraId="077B2661" w14:textId="77777777" w:rsidR="00DB7AAB" w:rsidRPr="007847AA" w:rsidRDefault="00DB7AAB" w:rsidP="008D64E2">
      <w:pPr>
        <w:pStyle w:val="5Arial20BOLD"/>
      </w:pPr>
      <w:bookmarkStart w:id="54" w:name="_Toc453925548"/>
      <w:bookmarkStart w:id="55" w:name="_Toc453926075"/>
      <w:bookmarkStart w:id="56" w:name="_Toc97767058"/>
      <w:bookmarkStart w:id="57" w:name="_Toc171794656"/>
      <w:r w:rsidRPr="007847AA">
        <w:t>C.4 Steps in Housing Rehabilitation</w:t>
      </w:r>
      <w:bookmarkEnd w:id="54"/>
      <w:bookmarkEnd w:id="55"/>
      <w:r w:rsidR="00A454E5" w:rsidRPr="007847AA">
        <w:t xml:space="preserve"> Projects</w:t>
      </w:r>
      <w:bookmarkEnd w:id="56"/>
      <w:bookmarkEnd w:id="57"/>
    </w:p>
    <w:p w14:paraId="1A7C0C71" w14:textId="77777777" w:rsidR="00DB7AAB" w:rsidRPr="007847AA" w:rsidRDefault="00DB7AAB" w:rsidP="008D64E2">
      <w:pPr>
        <w:autoSpaceDE w:val="0"/>
        <w:autoSpaceDN w:val="0"/>
        <w:adjustRightInd w:val="0"/>
        <w:jc w:val="both"/>
        <w:rPr>
          <w:rFonts w:cs="Arial"/>
          <w:szCs w:val="22"/>
        </w:rPr>
      </w:pPr>
    </w:p>
    <w:p w14:paraId="23F5FD2E" w14:textId="77777777" w:rsidR="00DB7AAB" w:rsidRPr="007847AA" w:rsidRDefault="00DB7AAB" w:rsidP="008D64E2">
      <w:pPr>
        <w:pStyle w:val="1Arial11BODY"/>
        <w:spacing w:line="240" w:lineRule="auto"/>
      </w:pPr>
      <w:r w:rsidRPr="007847AA">
        <w:t>Below are typical steps involved in a housing rehabilitation program using TxCDBG funds.</w:t>
      </w:r>
      <w:r w:rsidR="0013611B" w:rsidRPr="007847AA">
        <w:t xml:space="preserve"> </w:t>
      </w:r>
      <w:r w:rsidRPr="007847AA">
        <w:t>The steps follow in a sequential manner although some may occur simultaneously</w:t>
      </w:r>
      <w:r w:rsidR="0013611B" w:rsidRPr="007847AA">
        <w:t>.</w:t>
      </w:r>
    </w:p>
    <w:p w14:paraId="2EFE950B" w14:textId="77777777" w:rsidR="00AA0D25" w:rsidRPr="007847AA" w:rsidRDefault="00AA0D25" w:rsidP="008D64E2"/>
    <w:p w14:paraId="77A89DD6" w14:textId="77777777" w:rsidR="002B45DA" w:rsidRPr="007847AA" w:rsidRDefault="002B45DA" w:rsidP="008D64E2"/>
    <w:p w14:paraId="1ABC0897" w14:textId="77777777" w:rsidR="00DB7AAB" w:rsidRPr="007847AA" w:rsidRDefault="000F04FE" w:rsidP="008D64E2">
      <w:pPr>
        <w:pStyle w:val="3BOLDArial11"/>
        <w:spacing w:line="240" w:lineRule="auto"/>
      </w:pPr>
      <w:r w:rsidRPr="007847AA">
        <w:t>Step 1</w:t>
      </w:r>
      <w:r w:rsidR="003C4EDC" w:rsidRPr="007847AA">
        <w:t>.</w:t>
      </w:r>
      <w:r w:rsidR="005C729B" w:rsidRPr="007847AA">
        <w:t xml:space="preserve"> </w:t>
      </w:r>
      <w:r w:rsidR="00141D74" w:rsidRPr="007847AA">
        <w:t>Housing Rehabilitation Guidelines</w:t>
      </w:r>
    </w:p>
    <w:p w14:paraId="3AA2476C" w14:textId="77777777" w:rsidR="00C12448" w:rsidRPr="007847AA" w:rsidRDefault="000F04FE" w:rsidP="00C41749">
      <w:pPr>
        <w:pStyle w:val="2BULLETArial11"/>
        <w:spacing w:line="240" w:lineRule="auto"/>
        <w:ind w:left="720"/>
      </w:pPr>
      <w:r w:rsidRPr="007847AA">
        <w:t xml:space="preserve">Grant Recipient develops Housing Rehabilitation Guidelines </w:t>
      </w:r>
      <w:r w:rsidR="0012216A" w:rsidRPr="007847AA">
        <w:t>which must be</w:t>
      </w:r>
      <w:r w:rsidRPr="007847AA">
        <w:t xml:space="preserve"> provide</w:t>
      </w:r>
      <w:r w:rsidR="0012216A" w:rsidRPr="007847AA">
        <w:t>d</w:t>
      </w:r>
      <w:r w:rsidRPr="007847AA">
        <w:t xml:space="preserve"> to TDA</w:t>
      </w:r>
      <w:r w:rsidR="00141D74" w:rsidRPr="007847AA">
        <w:t xml:space="preserve"> as part of the application for grant funding</w:t>
      </w:r>
      <w:r w:rsidRPr="007847AA">
        <w:t>.</w:t>
      </w:r>
      <w:r w:rsidR="00DF2C37" w:rsidRPr="007847AA">
        <w:t xml:space="preserve"> </w:t>
      </w:r>
      <w:r w:rsidR="00B24A0C" w:rsidRPr="007847AA">
        <w:t xml:space="preserve">Guidelines must be approved by TDA </w:t>
      </w:r>
      <w:r w:rsidR="00BD1F31" w:rsidRPr="007847AA">
        <w:t>s</w:t>
      </w:r>
      <w:r w:rsidR="00C771FC" w:rsidRPr="007847AA">
        <w:t xml:space="preserve">taff </w:t>
      </w:r>
      <w:r w:rsidR="00B24A0C" w:rsidRPr="007847AA">
        <w:t>before being adopted by the locality.</w:t>
      </w:r>
      <w:r w:rsidR="00C771FC" w:rsidRPr="007847AA">
        <w:t xml:space="preserve"> Submittal of the </w:t>
      </w:r>
      <w:r w:rsidR="00BD1F31" w:rsidRPr="007847AA">
        <w:t>g</w:t>
      </w:r>
      <w:r w:rsidR="00C771FC" w:rsidRPr="007847AA">
        <w:t>uidelines with the grant application does not constitute approval by TDA.</w:t>
      </w:r>
      <w:r w:rsidR="00DF2C37" w:rsidRPr="007847AA">
        <w:t xml:space="preserve"> </w:t>
      </w:r>
      <w:r w:rsidR="00C771FC" w:rsidRPr="007847AA">
        <w:t xml:space="preserve">Grant Recipient must have written approval of the guidelines by TDA </w:t>
      </w:r>
      <w:r w:rsidR="00BB6D40" w:rsidRPr="007847AA">
        <w:t>s</w:t>
      </w:r>
      <w:r w:rsidR="00C771FC" w:rsidRPr="007847AA">
        <w:t>taff.</w:t>
      </w:r>
      <w:r w:rsidR="003E1798" w:rsidRPr="007847AA">
        <w:t xml:space="preserve">  Note: Any revisions to these guidelines also require TDA approval.</w:t>
      </w:r>
    </w:p>
    <w:p w14:paraId="7E9AC768" w14:textId="77777777" w:rsidR="00141D74" w:rsidRPr="007847AA" w:rsidRDefault="00141D74" w:rsidP="00C41749">
      <w:pPr>
        <w:pStyle w:val="2BULLETArial11"/>
        <w:spacing w:line="240" w:lineRule="auto"/>
        <w:ind w:left="720"/>
      </w:pPr>
      <w:r w:rsidRPr="007847AA">
        <w:t xml:space="preserve">The </w:t>
      </w:r>
      <w:r w:rsidR="00DF2C37" w:rsidRPr="007847AA">
        <w:t>g</w:t>
      </w:r>
      <w:r w:rsidRPr="007847AA">
        <w:t>uidelines must include</w:t>
      </w:r>
      <w:r w:rsidR="003E1798" w:rsidRPr="007847AA">
        <w:t xml:space="preserve"> the following</w:t>
      </w:r>
      <w:r w:rsidR="00A454E5" w:rsidRPr="007847AA">
        <w:t>:</w:t>
      </w:r>
    </w:p>
    <w:p w14:paraId="12E0E46F" w14:textId="77777777" w:rsidR="00141D74" w:rsidRPr="007847AA" w:rsidRDefault="00A963CE" w:rsidP="008D64E2">
      <w:pPr>
        <w:pStyle w:val="2BULLETArial11"/>
        <w:numPr>
          <w:ilvl w:val="0"/>
          <w:numId w:val="16"/>
        </w:numPr>
        <w:spacing w:line="240" w:lineRule="auto"/>
        <w:ind w:left="1080"/>
      </w:pPr>
      <w:r w:rsidRPr="007847AA">
        <w:rPr>
          <w:b/>
          <w:bCs/>
        </w:rPr>
        <w:t xml:space="preserve">Who is </w:t>
      </w:r>
      <w:r w:rsidR="003C4EDC" w:rsidRPr="007847AA">
        <w:rPr>
          <w:b/>
          <w:bCs/>
        </w:rPr>
        <w:t>E</w:t>
      </w:r>
      <w:r w:rsidRPr="007847AA">
        <w:rPr>
          <w:b/>
          <w:bCs/>
        </w:rPr>
        <w:t>ligibl</w:t>
      </w:r>
      <w:r w:rsidR="003C4EDC" w:rsidRPr="007847AA">
        <w:rPr>
          <w:b/>
          <w:bCs/>
        </w:rPr>
        <w:t>e</w:t>
      </w:r>
      <w:r w:rsidR="003C4EDC" w:rsidRPr="007847AA">
        <w:t xml:space="preserve"> – </w:t>
      </w:r>
      <w:r w:rsidRPr="007847AA">
        <w:t>A</w:t>
      </w:r>
      <w:r w:rsidR="00141D74" w:rsidRPr="007847AA">
        <w:t>ny minimum criteria that will be used to determine eligibility for the housing unit, such as income eligibility, location within a target area, tax compliance status</w:t>
      </w:r>
      <w:r w:rsidRPr="007847AA">
        <w:t>, ownership status, or maximum home value.</w:t>
      </w:r>
    </w:p>
    <w:p w14:paraId="58A82F58" w14:textId="77777777" w:rsidR="00141D74" w:rsidRPr="007847AA" w:rsidRDefault="00A963CE" w:rsidP="008D64E2">
      <w:pPr>
        <w:pStyle w:val="2BULLETArial11"/>
        <w:numPr>
          <w:ilvl w:val="0"/>
          <w:numId w:val="16"/>
        </w:numPr>
        <w:spacing w:line="240" w:lineRule="auto"/>
        <w:ind w:left="1080"/>
      </w:pPr>
      <w:r w:rsidRPr="007847AA">
        <w:rPr>
          <w:b/>
          <w:bCs/>
        </w:rPr>
        <w:t xml:space="preserve">How </w:t>
      </w:r>
      <w:r w:rsidR="003C4EDC" w:rsidRPr="007847AA">
        <w:rPr>
          <w:b/>
          <w:bCs/>
        </w:rPr>
        <w:t>W</w:t>
      </w:r>
      <w:r w:rsidRPr="007847AA">
        <w:rPr>
          <w:b/>
          <w:bCs/>
        </w:rPr>
        <w:t xml:space="preserve">ill the </w:t>
      </w:r>
      <w:r w:rsidR="003C4EDC" w:rsidRPr="007847AA">
        <w:rPr>
          <w:b/>
          <w:bCs/>
        </w:rPr>
        <w:t>U</w:t>
      </w:r>
      <w:r w:rsidRPr="007847AA">
        <w:rPr>
          <w:b/>
          <w:bCs/>
        </w:rPr>
        <w:t xml:space="preserve">nits be </w:t>
      </w:r>
      <w:r w:rsidR="003C4EDC" w:rsidRPr="007847AA">
        <w:rPr>
          <w:b/>
          <w:bCs/>
        </w:rPr>
        <w:t>S</w:t>
      </w:r>
      <w:r w:rsidRPr="007847AA">
        <w:rPr>
          <w:b/>
          <w:bCs/>
        </w:rPr>
        <w:t>elected</w:t>
      </w:r>
      <w:r w:rsidR="003C4EDC" w:rsidRPr="007847AA">
        <w:t xml:space="preserve"> – </w:t>
      </w:r>
      <w:r w:rsidRPr="007847AA">
        <w:t>A</w:t>
      </w:r>
      <w:r w:rsidR="00141D74" w:rsidRPr="007847AA">
        <w:t xml:space="preserve">ny priorities or scoring criteria that will be used to select eligible units, such as priorities for elderly or disabled residents, scoring based on income category, or </w:t>
      </w:r>
      <w:r w:rsidRPr="007847AA">
        <w:t>order received</w:t>
      </w:r>
      <w:r w:rsidR="003E1798" w:rsidRPr="007847AA">
        <w:t xml:space="preserve">, </w:t>
      </w:r>
      <w:proofErr w:type="gramStart"/>
      <w:r w:rsidR="003E1798" w:rsidRPr="007847AA">
        <w:t>etc.</w:t>
      </w:r>
      <w:r w:rsidRPr="007847AA">
        <w:t>.</w:t>
      </w:r>
      <w:proofErr w:type="gramEnd"/>
    </w:p>
    <w:p w14:paraId="53A28AF1" w14:textId="77777777" w:rsidR="00A963CE" w:rsidRPr="007847AA" w:rsidRDefault="00A963CE" w:rsidP="00C41749">
      <w:pPr>
        <w:pStyle w:val="2BULLETArial11"/>
        <w:spacing w:line="240" w:lineRule="auto"/>
        <w:ind w:left="720"/>
      </w:pPr>
      <w:r w:rsidRPr="007847AA">
        <w:t>What types of improvements are eligible?</w:t>
      </w:r>
    </w:p>
    <w:p w14:paraId="1DB918A5" w14:textId="77777777" w:rsidR="00C309D3" w:rsidRPr="007847AA" w:rsidRDefault="00A454E5" w:rsidP="008D64E2">
      <w:pPr>
        <w:pStyle w:val="2BULLETArial11"/>
        <w:numPr>
          <w:ilvl w:val="1"/>
          <w:numId w:val="5"/>
        </w:numPr>
        <w:spacing w:line="240" w:lineRule="auto"/>
        <w:ind w:left="1080"/>
      </w:pPr>
      <w:r w:rsidRPr="007847AA">
        <w:rPr>
          <w:b/>
          <w:bCs/>
        </w:rPr>
        <w:t xml:space="preserve">Housing Unit Rehab </w:t>
      </w:r>
      <w:r w:rsidR="003C4EDC" w:rsidRPr="007847AA">
        <w:rPr>
          <w:b/>
          <w:bCs/>
        </w:rPr>
        <w:t>O</w:t>
      </w:r>
      <w:r w:rsidRPr="007847AA">
        <w:rPr>
          <w:b/>
          <w:bCs/>
        </w:rPr>
        <w:t>nly</w:t>
      </w:r>
      <w:r w:rsidR="003C4EDC" w:rsidRPr="007847AA">
        <w:t xml:space="preserve"> – </w:t>
      </w:r>
      <w:r w:rsidR="008D038D" w:rsidRPr="007847AA">
        <w:t>What are the terms of the assistance? Must include information on forgivable loans and potential repayment of loans, cost over runs, and homeowner responsibilities.</w:t>
      </w:r>
    </w:p>
    <w:p w14:paraId="60F3244B" w14:textId="77777777" w:rsidR="00A454E5" w:rsidRPr="007847AA" w:rsidRDefault="00A454E5" w:rsidP="008D64E2">
      <w:pPr>
        <w:pStyle w:val="2BULLETArial11"/>
        <w:numPr>
          <w:ilvl w:val="1"/>
          <w:numId w:val="5"/>
        </w:numPr>
        <w:spacing w:line="240" w:lineRule="auto"/>
        <w:ind w:left="1080"/>
      </w:pPr>
      <w:r w:rsidRPr="007847AA">
        <w:rPr>
          <w:b/>
          <w:bCs/>
        </w:rPr>
        <w:t xml:space="preserve">Housing Unit Rehab </w:t>
      </w:r>
      <w:r w:rsidR="003C4EDC" w:rsidRPr="007847AA">
        <w:rPr>
          <w:b/>
          <w:bCs/>
        </w:rPr>
        <w:t>O</w:t>
      </w:r>
      <w:r w:rsidRPr="007847AA">
        <w:rPr>
          <w:b/>
          <w:bCs/>
        </w:rPr>
        <w:t>nly</w:t>
      </w:r>
      <w:r w:rsidR="003C4EDC" w:rsidRPr="007847AA">
        <w:t xml:space="preserve"> – </w:t>
      </w:r>
      <w:r w:rsidRPr="007847AA">
        <w:t>What is the maximum funding per unit?</w:t>
      </w:r>
    </w:p>
    <w:p w14:paraId="6AC42D7B" w14:textId="77777777" w:rsidR="00A454E5" w:rsidRPr="007847AA" w:rsidRDefault="00A454E5" w:rsidP="00C41749">
      <w:pPr>
        <w:pStyle w:val="2BULLETArial11"/>
        <w:spacing w:line="240" w:lineRule="auto"/>
        <w:ind w:left="720"/>
      </w:pPr>
      <w:r w:rsidRPr="007847AA">
        <w:rPr>
          <w:b/>
          <w:bCs/>
        </w:rPr>
        <w:t xml:space="preserve">OSSF </w:t>
      </w:r>
      <w:r w:rsidR="003C4EDC" w:rsidRPr="007847AA">
        <w:rPr>
          <w:b/>
          <w:bCs/>
        </w:rPr>
        <w:t>O</w:t>
      </w:r>
      <w:r w:rsidRPr="007847AA">
        <w:rPr>
          <w:b/>
          <w:bCs/>
        </w:rPr>
        <w:t>nly</w:t>
      </w:r>
      <w:r w:rsidR="003C4EDC" w:rsidRPr="007847AA">
        <w:t xml:space="preserve"> – </w:t>
      </w:r>
      <w:r w:rsidRPr="007847AA">
        <w:t>If renter-occupied properties are eligible, how will the owner ensure that the occupants remain LMI eligible throughout the assistance period?  Owners of renter-occupied properties must also execute an agreement with the Grant Recipient not to increase rent or change rental amounts to more than the annual HOME Rental Limits published by HUD. Sample Guidelines can be found on the TDA website:</w:t>
      </w:r>
    </w:p>
    <w:p w14:paraId="0311B888" w14:textId="028F5199" w:rsidR="00A454E5" w:rsidRPr="007847AA" w:rsidRDefault="00AE2001" w:rsidP="008D64E2">
      <w:pPr>
        <w:pStyle w:val="2BULLETArial11"/>
        <w:numPr>
          <w:ilvl w:val="0"/>
          <w:numId w:val="17"/>
        </w:numPr>
        <w:spacing w:line="240" w:lineRule="auto"/>
        <w:ind w:left="1080"/>
      </w:pPr>
      <w:r w:rsidRPr="007847AA">
        <w:rPr>
          <w:i/>
          <w:iCs w:val="0"/>
        </w:rPr>
        <w:t xml:space="preserve">Sample </w:t>
      </w:r>
      <w:r w:rsidR="00A454E5" w:rsidRPr="007847AA">
        <w:rPr>
          <w:i/>
          <w:iCs w:val="0"/>
        </w:rPr>
        <w:t>Housing Rehab</w:t>
      </w:r>
      <w:r w:rsidRPr="007847AA">
        <w:rPr>
          <w:i/>
          <w:iCs w:val="0"/>
        </w:rPr>
        <w:t>ilitation Guidelines</w:t>
      </w:r>
      <w:r w:rsidR="00A454E5" w:rsidRPr="007847AA">
        <w:t xml:space="preserve"> </w:t>
      </w:r>
      <w:r w:rsidR="003C4EDC" w:rsidRPr="007847AA">
        <w:rPr>
          <w:b/>
          <w:bCs/>
        </w:rPr>
        <w:t>(</w:t>
      </w:r>
      <w:r w:rsidR="00A454E5" w:rsidRPr="007847AA">
        <w:rPr>
          <w:b/>
          <w:bCs/>
        </w:rPr>
        <w:t>Form C2</w:t>
      </w:r>
      <w:r w:rsidR="003C4EDC" w:rsidRPr="007847AA">
        <w:rPr>
          <w:b/>
          <w:bCs/>
        </w:rPr>
        <w:t>)</w:t>
      </w:r>
    </w:p>
    <w:p w14:paraId="59E0DBA6" w14:textId="4FED2547" w:rsidR="00A454E5" w:rsidRPr="007847AA" w:rsidRDefault="00AE2001" w:rsidP="008D64E2">
      <w:pPr>
        <w:pStyle w:val="2BULLETArial11"/>
        <w:numPr>
          <w:ilvl w:val="0"/>
          <w:numId w:val="17"/>
        </w:numPr>
        <w:spacing w:line="240" w:lineRule="auto"/>
        <w:ind w:left="1080"/>
      </w:pPr>
      <w:r w:rsidRPr="007847AA">
        <w:rPr>
          <w:i/>
          <w:iCs w:val="0"/>
        </w:rPr>
        <w:t xml:space="preserve">Sample </w:t>
      </w:r>
      <w:r w:rsidR="00A454E5" w:rsidRPr="007847AA">
        <w:rPr>
          <w:i/>
          <w:iCs w:val="0"/>
        </w:rPr>
        <w:t>OSSF Guidelines</w:t>
      </w:r>
      <w:r w:rsidR="00A454E5" w:rsidRPr="007847AA">
        <w:t xml:space="preserve"> </w:t>
      </w:r>
      <w:r w:rsidR="003C4EDC" w:rsidRPr="007847AA">
        <w:rPr>
          <w:b/>
          <w:bCs/>
        </w:rPr>
        <w:t>(</w:t>
      </w:r>
      <w:r w:rsidR="00A454E5" w:rsidRPr="007847AA">
        <w:rPr>
          <w:b/>
          <w:bCs/>
        </w:rPr>
        <w:t>Form CII2</w:t>
      </w:r>
      <w:r w:rsidR="003C4EDC" w:rsidRPr="007847AA">
        <w:rPr>
          <w:b/>
          <w:bCs/>
        </w:rPr>
        <w:t>)</w:t>
      </w:r>
    </w:p>
    <w:p w14:paraId="22574986" w14:textId="1C2FED11" w:rsidR="00A454E5" w:rsidRPr="007847AA" w:rsidRDefault="00B44D22" w:rsidP="008D64E2">
      <w:pPr>
        <w:pStyle w:val="2BULLETArial11"/>
        <w:numPr>
          <w:ilvl w:val="0"/>
          <w:numId w:val="17"/>
        </w:numPr>
        <w:spacing w:line="240" w:lineRule="auto"/>
        <w:ind w:left="1080"/>
      </w:pPr>
      <w:r w:rsidRPr="007847AA">
        <w:rPr>
          <w:i/>
          <w:iCs w:val="0"/>
        </w:rPr>
        <w:t>Yard line</w:t>
      </w:r>
      <w:r w:rsidR="00AE2001" w:rsidRPr="007847AA">
        <w:rPr>
          <w:i/>
          <w:iCs w:val="0"/>
        </w:rPr>
        <w:t xml:space="preserve"> Assistance Guidelines Template</w:t>
      </w:r>
      <w:r w:rsidR="00AE2001" w:rsidRPr="007847AA" w:rsidDel="00AE2001">
        <w:rPr>
          <w:i/>
          <w:iCs w:val="0"/>
        </w:rPr>
        <w:t xml:space="preserve"> </w:t>
      </w:r>
      <w:r w:rsidR="003C4EDC" w:rsidRPr="007847AA">
        <w:rPr>
          <w:b/>
          <w:bCs/>
        </w:rPr>
        <w:t>(</w:t>
      </w:r>
      <w:r w:rsidR="00A454E5" w:rsidRPr="007847AA">
        <w:rPr>
          <w:b/>
          <w:bCs/>
        </w:rPr>
        <w:t>Form CII2</w:t>
      </w:r>
      <w:r w:rsidR="00AE2001" w:rsidRPr="007847AA">
        <w:rPr>
          <w:b/>
          <w:bCs/>
        </w:rPr>
        <w:t>.</w:t>
      </w:r>
      <w:r w:rsidR="00A454E5" w:rsidRPr="007847AA">
        <w:rPr>
          <w:b/>
          <w:bCs/>
        </w:rPr>
        <w:t>A</w:t>
      </w:r>
      <w:r w:rsidR="003C4EDC" w:rsidRPr="007847AA">
        <w:rPr>
          <w:b/>
          <w:bCs/>
        </w:rPr>
        <w:t>)</w:t>
      </w:r>
    </w:p>
    <w:p w14:paraId="09AC5879" w14:textId="0C6410A9" w:rsidR="00A454E5" w:rsidRPr="007847AA" w:rsidRDefault="00B44D22" w:rsidP="00C41749">
      <w:pPr>
        <w:pStyle w:val="2BULLETArial11"/>
        <w:spacing w:line="240" w:lineRule="auto"/>
        <w:ind w:left="720"/>
      </w:pPr>
      <w:r w:rsidRPr="007847AA">
        <w:t>Yard line</w:t>
      </w:r>
      <w:r w:rsidR="00A454E5" w:rsidRPr="007847AA">
        <w:t xml:space="preserve"> projects limited to those associated with construction of a water or sewer mainline do not require separate </w:t>
      </w:r>
      <w:r w:rsidR="003C4EDC" w:rsidRPr="007847AA">
        <w:t>g</w:t>
      </w:r>
      <w:r w:rsidR="00A454E5" w:rsidRPr="007847AA">
        <w:t xml:space="preserve">uidelines to be submitted and approved. In this case, only </w:t>
      </w:r>
      <w:r w:rsidRPr="007847AA">
        <w:t>yard line</w:t>
      </w:r>
      <w:r w:rsidR="00A454E5" w:rsidRPr="007847AA">
        <w:t>s connecting to the main line identified in the TxCDBG</w:t>
      </w:r>
      <w:r w:rsidR="00762204" w:rsidRPr="007847AA">
        <w:t xml:space="preserve"> G</w:t>
      </w:r>
      <w:r w:rsidR="00237889" w:rsidRPr="007847AA">
        <w:t xml:space="preserve">rant </w:t>
      </w:r>
      <w:r w:rsidR="00762204" w:rsidRPr="007847AA">
        <w:t>A</w:t>
      </w:r>
      <w:r w:rsidR="00237889" w:rsidRPr="007847AA">
        <w:t xml:space="preserve">greement </w:t>
      </w:r>
      <w:r w:rsidR="00A454E5" w:rsidRPr="007847AA">
        <w:t>will be approved for reimbursement. This type of project is not addressed in this chapter.</w:t>
      </w:r>
    </w:p>
    <w:p w14:paraId="33CAD5AD" w14:textId="77777777" w:rsidR="00A454E5" w:rsidRPr="007847AA" w:rsidRDefault="00A454E5" w:rsidP="008D64E2">
      <w:pPr>
        <w:autoSpaceDE w:val="0"/>
        <w:autoSpaceDN w:val="0"/>
        <w:adjustRightInd w:val="0"/>
        <w:jc w:val="both"/>
        <w:rPr>
          <w:rFonts w:cs="Arial"/>
          <w:sz w:val="18"/>
          <w:szCs w:val="22"/>
        </w:rPr>
      </w:pPr>
    </w:p>
    <w:p w14:paraId="07741EC6" w14:textId="320204F9" w:rsidR="00DB7AAB" w:rsidRPr="007847AA" w:rsidRDefault="00DB7AAB" w:rsidP="008D64E2">
      <w:pPr>
        <w:pStyle w:val="3BOLDArial11"/>
        <w:spacing w:line="240" w:lineRule="auto"/>
      </w:pPr>
      <w:r w:rsidRPr="007847AA">
        <w:t>Step</w:t>
      </w:r>
      <w:r w:rsidR="00586164" w:rsidRPr="007847AA">
        <w:t xml:space="preserve"> </w:t>
      </w:r>
      <w:r w:rsidR="008D038D" w:rsidRPr="007847AA">
        <w:t>2</w:t>
      </w:r>
      <w:r w:rsidR="003C4EDC" w:rsidRPr="007847AA">
        <w:t>.</w:t>
      </w:r>
      <w:r w:rsidR="005C729B" w:rsidRPr="007847AA">
        <w:t xml:space="preserve"> </w:t>
      </w:r>
      <w:r w:rsidRPr="007847AA">
        <w:t>Administrative Start</w:t>
      </w:r>
      <w:r w:rsidR="00506BA4" w:rsidRPr="007847AA">
        <w:rPr>
          <w:b w:val="0"/>
        </w:rPr>
        <w:t>–</w:t>
      </w:r>
      <w:r w:rsidRPr="007847AA">
        <w:t>up</w:t>
      </w:r>
    </w:p>
    <w:p w14:paraId="0CCD4C01" w14:textId="77777777" w:rsidR="00DB7AAB" w:rsidRPr="007847AA" w:rsidRDefault="00DB7AAB" w:rsidP="00C41749">
      <w:pPr>
        <w:pStyle w:val="2BULLETArial11"/>
        <w:spacing w:line="240" w:lineRule="auto"/>
        <w:ind w:left="720"/>
        <w:jc w:val="both"/>
      </w:pPr>
      <w:r w:rsidRPr="007847AA">
        <w:t>The Grant Recipient procures professional services as needed, including architectural</w:t>
      </w:r>
      <w:r w:rsidR="00326D1B" w:rsidRPr="007847AA">
        <w:t>/engineering</w:t>
      </w:r>
      <w:r w:rsidRPr="007847AA">
        <w:t xml:space="preserve"> and administration services. </w:t>
      </w:r>
    </w:p>
    <w:p w14:paraId="3AE96D13" w14:textId="77777777" w:rsidR="00996C28" w:rsidRPr="007847AA" w:rsidRDefault="00DB7AAB" w:rsidP="00C41749">
      <w:pPr>
        <w:pStyle w:val="2BULLETArial11"/>
        <w:spacing w:line="240" w:lineRule="auto"/>
        <w:ind w:left="720"/>
        <w:jc w:val="both"/>
      </w:pPr>
      <w:r w:rsidRPr="007847AA">
        <w:t xml:space="preserve">A </w:t>
      </w:r>
      <w:r w:rsidR="00E0214D" w:rsidRPr="007847AA">
        <w:t>r</w:t>
      </w:r>
      <w:r w:rsidRPr="007847AA">
        <w:t xml:space="preserve">ehabilitation </w:t>
      </w:r>
      <w:r w:rsidR="00E0214D" w:rsidRPr="007847AA">
        <w:t>inspector</w:t>
      </w:r>
      <w:r w:rsidRPr="007847AA">
        <w:t xml:space="preserve"> is designated, which may be an employee of the Grant Recipient or a </w:t>
      </w:r>
      <w:r w:rsidR="00B147BF" w:rsidRPr="007847AA">
        <w:t>procured service provider</w:t>
      </w:r>
      <w:r w:rsidRPr="007847AA">
        <w:t>.</w:t>
      </w:r>
    </w:p>
    <w:p w14:paraId="280A39E9" w14:textId="0A709697" w:rsidR="00996C28" w:rsidRPr="007847AA" w:rsidRDefault="00996C28" w:rsidP="00C41749">
      <w:pPr>
        <w:pStyle w:val="2BULLETArial11"/>
        <w:spacing w:line="240" w:lineRule="auto"/>
        <w:ind w:left="720"/>
        <w:jc w:val="both"/>
      </w:pPr>
      <w:bookmarkStart w:id="58" w:name="_Hlk66055628"/>
      <w:r w:rsidRPr="007847AA">
        <w:t>The Grant Recipient completes a broad-level environmental review</w:t>
      </w:r>
      <w:r w:rsidR="008D4C04" w:rsidRPr="007847AA">
        <w:t>—</w:t>
      </w:r>
      <w:r w:rsidR="00326D1B" w:rsidRPr="007847AA">
        <w:t>the first step in a tiered review</w:t>
      </w:r>
      <w:r w:rsidRPr="007847AA">
        <w:t xml:space="preserve"> as described in </w:t>
      </w:r>
      <w:r w:rsidRPr="007847AA">
        <w:rPr>
          <w:i/>
          <w:iCs w:val="0"/>
        </w:rPr>
        <w:t>Chapter 3</w:t>
      </w:r>
      <w:r w:rsidR="00C41749" w:rsidRPr="007847AA">
        <w:rPr>
          <w:i/>
          <w:iCs w:val="0"/>
        </w:rPr>
        <w:t xml:space="preserve"> Environmental Review</w:t>
      </w:r>
      <w:r w:rsidR="008D4C04" w:rsidRPr="007847AA">
        <w:t>—</w:t>
      </w:r>
      <w:r w:rsidRPr="007847AA">
        <w:t xml:space="preserve">and receives clearance from the TDA Environmental </w:t>
      </w:r>
      <w:r w:rsidR="0066789A" w:rsidRPr="007847AA">
        <w:t>Specialist</w:t>
      </w:r>
      <w:r w:rsidR="008B2AA2" w:rsidRPr="007847AA">
        <w:t xml:space="preserve">. </w:t>
      </w:r>
      <w:r w:rsidRPr="007847AA">
        <w:t xml:space="preserve"> </w:t>
      </w:r>
      <w:bookmarkEnd w:id="58"/>
    </w:p>
    <w:p w14:paraId="2B5C687A" w14:textId="77777777" w:rsidR="00505666" w:rsidRPr="007847AA" w:rsidRDefault="00505666" w:rsidP="008D64E2">
      <w:pPr>
        <w:autoSpaceDE w:val="0"/>
        <w:autoSpaceDN w:val="0"/>
        <w:adjustRightInd w:val="0"/>
        <w:ind w:left="720"/>
        <w:jc w:val="both"/>
        <w:rPr>
          <w:rFonts w:cs="Arial"/>
          <w:szCs w:val="22"/>
        </w:rPr>
      </w:pPr>
    </w:p>
    <w:p w14:paraId="1320D914" w14:textId="77777777" w:rsidR="00DB7AAB" w:rsidRPr="007847AA" w:rsidRDefault="00DB7AAB" w:rsidP="008D64E2">
      <w:pPr>
        <w:pStyle w:val="3BOLDArial11"/>
        <w:spacing w:line="240" w:lineRule="auto"/>
      </w:pPr>
      <w:r w:rsidRPr="007847AA">
        <w:t xml:space="preserve"> Step </w:t>
      </w:r>
      <w:r w:rsidR="008D038D" w:rsidRPr="007847AA">
        <w:t>3</w:t>
      </w:r>
      <w:r w:rsidR="003271D4" w:rsidRPr="007847AA">
        <w:t xml:space="preserve">. </w:t>
      </w:r>
      <w:r w:rsidRPr="007847AA">
        <w:t>Homeowner Application Process</w:t>
      </w:r>
    </w:p>
    <w:p w14:paraId="6E34960D" w14:textId="77777777" w:rsidR="00F90985" w:rsidRPr="007847AA" w:rsidRDefault="00F90985" w:rsidP="00C41749">
      <w:pPr>
        <w:pStyle w:val="2BULLETArial11"/>
        <w:spacing w:line="240" w:lineRule="auto"/>
        <w:ind w:left="720"/>
      </w:pPr>
      <w:r w:rsidRPr="007847AA">
        <w:t>Outreach to potential applicants.</w:t>
      </w:r>
      <w:r w:rsidR="003C4EDC" w:rsidRPr="007847AA">
        <w:t xml:space="preserve"> </w:t>
      </w:r>
      <w:r w:rsidRPr="007847AA">
        <w:t xml:space="preserve">The Grant Recipient must identify the most appropriate methods of disseminating information to residents </w:t>
      </w:r>
      <w:proofErr w:type="gramStart"/>
      <w:r w:rsidRPr="007847AA">
        <w:t>in order to</w:t>
      </w:r>
      <w:proofErr w:type="gramEnd"/>
      <w:r w:rsidRPr="007847AA">
        <w:t xml:space="preserve"> ensure the grant funding is used effectively and assists the intended populations.  Examples </w:t>
      </w:r>
      <w:r w:rsidR="00326D1B" w:rsidRPr="007847AA">
        <w:t xml:space="preserve">include </w:t>
      </w:r>
      <w:r w:rsidRPr="007847AA">
        <w:t xml:space="preserve">partnerships with local non-profits serving households that may qualify for housing rehabilitation assistance, delivery of door-to-door flyers, public service announcements in local media and community meetings. </w:t>
      </w:r>
    </w:p>
    <w:p w14:paraId="726D5CFE" w14:textId="77777777" w:rsidR="00326D1B" w:rsidRPr="007847AA" w:rsidRDefault="003E1798" w:rsidP="00C41749">
      <w:pPr>
        <w:pStyle w:val="2BULLETArial11"/>
        <w:spacing w:line="240" w:lineRule="auto"/>
        <w:ind w:left="720"/>
      </w:pPr>
      <w:r w:rsidRPr="007847AA">
        <w:t xml:space="preserve">Grant Recipients must maintain an assisted homeowner case file for each household potentially receiving assistance. </w:t>
      </w:r>
    </w:p>
    <w:p w14:paraId="6895683E" w14:textId="77777777" w:rsidR="003E1798" w:rsidRPr="007847AA" w:rsidRDefault="00326D1B" w:rsidP="00C41749">
      <w:pPr>
        <w:pStyle w:val="2BULLETArial11"/>
        <w:spacing w:line="240" w:lineRule="auto"/>
        <w:ind w:left="720"/>
      </w:pPr>
      <w:r w:rsidRPr="007847AA">
        <w:t>Housing Unit Rehab</w:t>
      </w:r>
      <w:r w:rsidR="003C4EDC" w:rsidRPr="007847AA">
        <w:t xml:space="preserve"> – </w:t>
      </w:r>
      <w:r w:rsidR="003E1798" w:rsidRPr="007847AA">
        <w:rPr>
          <w:i/>
          <w:iCs w:val="0"/>
        </w:rPr>
        <w:t>Housing Rehabilitation Case File Review</w:t>
      </w:r>
      <w:r w:rsidR="003E1798" w:rsidRPr="007847AA">
        <w:t xml:space="preserve"> </w:t>
      </w:r>
      <w:r w:rsidR="003E1798" w:rsidRPr="007847AA">
        <w:rPr>
          <w:b/>
          <w:bCs/>
        </w:rPr>
        <w:t>(Form C6).</w:t>
      </w:r>
    </w:p>
    <w:p w14:paraId="46CD08FC" w14:textId="77777777" w:rsidR="00326D1B" w:rsidRPr="007847AA" w:rsidRDefault="00326D1B" w:rsidP="00C41749">
      <w:pPr>
        <w:pStyle w:val="2BULLETArial11"/>
        <w:spacing w:line="240" w:lineRule="auto"/>
        <w:ind w:left="720"/>
      </w:pPr>
      <w:r w:rsidRPr="007847AA">
        <w:t>OSSF Assistance</w:t>
      </w:r>
      <w:r w:rsidR="003C4EDC" w:rsidRPr="007847AA">
        <w:t xml:space="preserve"> – </w:t>
      </w:r>
      <w:r w:rsidRPr="007847AA">
        <w:rPr>
          <w:i/>
          <w:iCs w:val="0"/>
        </w:rPr>
        <w:t>OSSF Case File Review Checklist</w:t>
      </w:r>
      <w:r w:rsidRPr="007847AA">
        <w:t xml:space="preserve"> </w:t>
      </w:r>
      <w:r w:rsidRPr="007847AA">
        <w:rPr>
          <w:b/>
          <w:bCs/>
        </w:rPr>
        <w:t>(Form CII3).</w:t>
      </w:r>
    </w:p>
    <w:p w14:paraId="42DE8C0E" w14:textId="77777777" w:rsidR="00DB7AAB" w:rsidRPr="007847AA" w:rsidRDefault="00DB7AAB" w:rsidP="00C41749">
      <w:pPr>
        <w:pStyle w:val="2BULLETArial11"/>
        <w:spacing w:line="240" w:lineRule="auto"/>
        <w:ind w:left="720"/>
      </w:pPr>
      <w:r w:rsidRPr="007847AA">
        <w:t xml:space="preserve">Applications are </w:t>
      </w:r>
      <w:r w:rsidR="00326D1B" w:rsidRPr="007847AA">
        <w:t>submitted by</w:t>
      </w:r>
      <w:r w:rsidRPr="007847AA">
        <w:t xml:space="preserve"> </w:t>
      </w:r>
      <w:r w:rsidR="00326D1B" w:rsidRPr="007847AA">
        <w:t>potential beneficiaries</w:t>
      </w:r>
      <w:r w:rsidRPr="007847AA">
        <w:t>.</w:t>
      </w:r>
    </w:p>
    <w:p w14:paraId="6EAFCD20" w14:textId="77777777" w:rsidR="00543884" w:rsidRPr="007847AA" w:rsidRDefault="00DB7AAB" w:rsidP="00C41749">
      <w:pPr>
        <w:pStyle w:val="2BULLETArial11"/>
        <w:spacing w:line="240" w:lineRule="auto"/>
        <w:ind w:left="720"/>
      </w:pPr>
      <w:r w:rsidRPr="007847AA">
        <w:t>The Grant Recipient verifies ownership, income-eligibility, and other qualifying factors for each application</w:t>
      </w:r>
      <w:r w:rsidR="002E57E0" w:rsidRPr="007847AA">
        <w:t>,</w:t>
      </w:r>
      <w:r w:rsidR="000F04FE" w:rsidRPr="007847AA">
        <w:t xml:space="preserve"> as described in the Housing Rehabilitation Guidelines</w:t>
      </w:r>
      <w:r w:rsidRPr="007847AA">
        <w:t>.</w:t>
      </w:r>
      <w:r w:rsidR="00586164" w:rsidRPr="007847AA">
        <w:t xml:space="preserve"> </w:t>
      </w:r>
    </w:p>
    <w:p w14:paraId="695D2EDF" w14:textId="77777777" w:rsidR="00A30A00" w:rsidRPr="007847AA" w:rsidRDefault="00326D1B" w:rsidP="00C41749">
      <w:pPr>
        <w:pStyle w:val="2BULLETArial11"/>
        <w:spacing w:line="240" w:lineRule="auto"/>
        <w:ind w:left="720"/>
      </w:pPr>
      <w:r w:rsidRPr="007847AA">
        <w:rPr>
          <w:b/>
          <w:bCs/>
        </w:rPr>
        <w:t xml:space="preserve">Housing Unit Rehab </w:t>
      </w:r>
      <w:r w:rsidR="00903AA9" w:rsidRPr="007847AA">
        <w:rPr>
          <w:b/>
          <w:bCs/>
        </w:rPr>
        <w:t>O</w:t>
      </w:r>
      <w:r w:rsidRPr="007847AA">
        <w:rPr>
          <w:b/>
          <w:bCs/>
        </w:rPr>
        <w:t>nly</w:t>
      </w:r>
      <w:r w:rsidR="00605979" w:rsidRPr="007847AA">
        <w:t xml:space="preserve"> – I</w:t>
      </w:r>
      <w:r w:rsidR="00B7279F" w:rsidRPr="007847AA">
        <w:t>ncome-</w:t>
      </w:r>
      <w:r w:rsidR="00A30A00" w:rsidRPr="007847AA">
        <w:t>eli</w:t>
      </w:r>
      <w:r w:rsidR="00B7279F" w:rsidRPr="007847AA">
        <w:t>gibility shall</w:t>
      </w:r>
      <w:r w:rsidR="00A30A00" w:rsidRPr="007847AA">
        <w:t xml:space="preserve"> be verified </w:t>
      </w:r>
      <w:r w:rsidR="00B7279F" w:rsidRPr="007847AA">
        <w:t>and noted in the local records by</w:t>
      </w:r>
      <w:r w:rsidR="00974AB4" w:rsidRPr="007847AA">
        <w:t xml:space="preserve"> one or more of the following methods</w:t>
      </w:r>
      <w:r w:rsidR="00B7279F" w:rsidRPr="007847AA">
        <w:t>:</w:t>
      </w:r>
    </w:p>
    <w:p w14:paraId="36DC10BB" w14:textId="77777777" w:rsidR="00A30A00" w:rsidRPr="007847AA" w:rsidRDefault="00A30A00" w:rsidP="008D64E2">
      <w:pPr>
        <w:pStyle w:val="2BULLETArial11"/>
        <w:numPr>
          <w:ilvl w:val="0"/>
          <w:numId w:val="4"/>
        </w:numPr>
        <w:spacing w:line="240" w:lineRule="auto"/>
        <w:ind w:left="1080"/>
      </w:pPr>
      <w:r w:rsidRPr="007847AA">
        <w:t xml:space="preserve">Providing third party verification of income from employers and other income </w:t>
      </w:r>
      <w:proofErr w:type="gramStart"/>
      <w:r w:rsidRPr="007847AA">
        <w:t>sources;</w:t>
      </w:r>
      <w:proofErr w:type="gramEnd"/>
      <w:r w:rsidRPr="007847AA">
        <w:t xml:space="preserve"> </w:t>
      </w:r>
    </w:p>
    <w:p w14:paraId="337AA91B" w14:textId="77777777" w:rsidR="00B7279F" w:rsidRPr="007847AA" w:rsidRDefault="00A30A00" w:rsidP="008D64E2">
      <w:pPr>
        <w:pStyle w:val="2BULLETArial11"/>
        <w:numPr>
          <w:ilvl w:val="0"/>
          <w:numId w:val="4"/>
        </w:numPr>
        <w:spacing w:line="240" w:lineRule="auto"/>
        <w:ind w:left="1080"/>
      </w:pPr>
      <w:r w:rsidRPr="007847AA">
        <w:t xml:space="preserve">Requiring pay stubs for at least three previous months of earnings prior to </w:t>
      </w:r>
      <w:proofErr w:type="gramStart"/>
      <w:r w:rsidRPr="007847AA">
        <w:t>application;</w:t>
      </w:r>
      <w:proofErr w:type="gramEnd"/>
    </w:p>
    <w:p w14:paraId="03B63C1E" w14:textId="77777777" w:rsidR="00A30A00" w:rsidRPr="007847AA" w:rsidRDefault="00B7279F" w:rsidP="008D64E2">
      <w:pPr>
        <w:pStyle w:val="2BULLETArial11"/>
        <w:numPr>
          <w:ilvl w:val="0"/>
          <w:numId w:val="4"/>
        </w:numPr>
        <w:spacing w:line="240" w:lineRule="auto"/>
        <w:ind w:left="1080"/>
      </w:pPr>
      <w:r w:rsidRPr="007847AA">
        <w:t>Requiring income tax returns and/or other verifiable statements of annual income if possible (e.g.</w:t>
      </w:r>
      <w:r w:rsidR="00505666" w:rsidRPr="007847AA">
        <w:t xml:space="preserve">, </w:t>
      </w:r>
      <w:r w:rsidRPr="007847AA">
        <w:t>Social Security benefit statements, employer letters)</w:t>
      </w:r>
      <w:r w:rsidR="003C4EDC" w:rsidRPr="007847AA">
        <w:t xml:space="preserve">; </w:t>
      </w:r>
      <w:r w:rsidR="00A30A00" w:rsidRPr="007847AA">
        <w:t>and/or</w:t>
      </w:r>
    </w:p>
    <w:p w14:paraId="012CED12" w14:textId="77777777" w:rsidR="00DB7AAB" w:rsidRPr="007847AA" w:rsidRDefault="003E1798" w:rsidP="008D64E2">
      <w:pPr>
        <w:pStyle w:val="2BULLETArial11"/>
        <w:numPr>
          <w:ilvl w:val="0"/>
          <w:numId w:val="18"/>
        </w:numPr>
        <w:spacing w:line="240" w:lineRule="auto"/>
        <w:ind w:left="1080"/>
      </w:pPr>
      <w:r w:rsidRPr="007847AA">
        <w:t>Each a</w:t>
      </w:r>
      <w:r w:rsidR="00A30A00" w:rsidRPr="007847AA">
        <w:t xml:space="preserve">pplicant </w:t>
      </w:r>
      <w:r w:rsidRPr="007847AA">
        <w:t xml:space="preserve">is interviewed </w:t>
      </w:r>
      <w:r w:rsidR="00A30A00" w:rsidRPr="007847AA">
        <w:t>about her/his employment and past and expected annual earnings</w:t>
      </w:r>
      <w:r w:rsidR="008A1107" w:rsidRPr="007847AA">
        <w:t xml:space="preserve"> to determine whether all required income has been reported</w:t>
      </w:r>
      <w:r w:rsidR="000939C4" w:rsidRPr="007847AA">
        <w:t xml:space="preserve">, </w:t>
      </w:r>
      <w:r w:rsidR="00B7279F" w:rsidRPr="007847AA">
        <w:t>e.g.</w:t>
      </w:r>
      <w:r w:rsidR="00505666" w:rsidRPr="007847AA">
        <w:t xml:space="preserve">, </w:t>
      </w:r>
      <w:r w:rsidR="00A30A00" w:rsidRPr="007847AA">
        <w:t>How long have you worked for this emp</w:t>
      </w:r>
      <w:r w:rsidR="00B7279F" w:rsidRPr="007847AA">
        <w:t>loyer? Is the work seasonal? A</w:t>
      </w:r>
      <w:r w:rsidR="00A30A00" w:rsidRPr="007847AA">
        <w:t xml:space="preserve">re you </w:t>
      </w:r>
      <w:r w:rsidR="002E57E0" w:rsidRPr="007847AA">
        <w:t xml:space="preserve">a </w:t>
      </w:r>
      <w:r w:rsidR="00A30A00" w:rsidRPr="007847AA">
        <w:t>part-time or full-time employe</w:t>
      </w:r>
      <w:r w:rsidR="002E57E0" w:rsidRPr="007847AA">
        <w:t>e</w:t>
      </w:r>
      <w:r w:rsidR="00A30A00" w:rsidRPr="007847AA">
        <w:t>?</w:t>
      </w:r>
    </w:p>
    <w:p w14:paraId="338F786C" w14:textId="7162677B" w:rsidR="00326D1B" w:rsidRPr="007847AA" w:rsidRDefault="00326D1B" w:rsidP="00C41749">
      <w:pPr>
        <w:pStyle w:val="2BULLETArial11"/>
        <w:spacing w:line="240" w:lineRule="auto"/>
        <w:ind w:left="720"/>
      </w:pPr>
      <w:r w:rsidRPr="007847AA">
        <w:rPr>
          <w:b/>
          <w:bCs/>
        </w:rPr>
        <w:t xml:space="preserve">OSSF and Scattered </w:t>
      </w:r>
      <w:r w:rsidR="00B44D22" w:rsidRPr="007847AA">
        <w:rPr>
          <w:b/>
          <w:bCs/>
        </w:rPr>
        <w:t>Yard line</w:t>
      </w:r>
      <w:r w:rsidRPr="007847AA">
        <w:rPr>
          <w:b/>
          <w:bCs/>
        </w:rPr>
        <w:t xml:space="preserve"> Assistance</w:t>
      </w:r>
      <w:r w:rsidR="00605979" w:rsidRPr="007847AA">
        <w:t xml:space="preserve"> – </w:t>
      </w:r>
      <w:r w:rsidRPr="007847AA">
        <w:t>Income eligibility may be documented by a self-certified Income Questionnaire.</w:t>
      </w:r>
    </w:p>
    <w:p w14:paraId="220B9982" w14:textId="77777777" w:rsidR="00326D1B" w:rsidRPr="007847AA" w:rsidRDefault="00326D1B" w:rsidP="00C41749">
      <w:pPr>
        <w:pStyle w:val="2BULLETArial11"/>
        <w:spacing w:line="240" w:lineRule="auto"/>
        <w:ind w:left="720"/>
      </w:pPr>
      <w:r w:rsidRPr="007847AA">
        <w:rPr>
          <w:b/>
          <w:bCs/>
        </w:rPr>
        <w:t xml:space="preserve">OSSF </w:t>
      </w:r>
      <w:r w:rsidR="00605979" w:rsidRPr="007847AA">
        <w:rPr>
          <w:b/>
          <w:bCs/>
        </w:rPr>
        <w:t>O</w:t>
      </w:r>
      <w:r w:rsidRPr="007847AA">
        <w:rPr>
          <w:b/>
          <w:bCs/>
        </w:rPr>
        <w:t>nly</w:t>
      </w:r>
      <w:r w:rsidR="00605979" w:rsidRPr="007847AA">
        <w:t xml:space="preserve"> – </w:t>
      </w:r>
      <w:r w:rsidRPr="007847AA">
        <w:t>Homeowners qualifying for assistance must certify that they will fully comply with requirements of the Texas Commission on Environmental Quality (TCEQ) at 30 TAC § 285.36 pertaining to proper decommissioning of abandoned</w:t>
      </w:r>
      <w:r w:rsidRPr="007847AA">
        <w:rPr>
          <w:bCs/>
        </w:rPr>
        <w:t xml:space="preserve"> </w:t>
      </w:r>
      <w:r w:rsidRPr="007847AA">
        <w:t>tanks, boreholes, cesspools, and seepage pits.</w:t>
      </w:r>
    </w:p>
    <w:p w14:paraId="320CE024" w14:textId="0909653D" w:rsidR="00DB7AAB" w:rsidRPr="007847AA" w:rsidRDefault="00DB7AAB" w:rsidP="008D64E2">
      <w:pPr>
        <w:pStyle w:val="2BULLETArial11"/>
        <w:numPr>
          <w:ilvl w:val="0"/>
          <w:numId w:val="0"/>
        </w:numPr>
        <w:spacing w:line="240" w:lineRule="auto"/>
        <w:ind w:left="1080"/>
      </w:pPr>
    </w:p>
    <w:p w14:paraId="32FF80FC" w14:textId="77777777" w:rsidR="00DB7AAB" w:rsidRPr="007847AA" w:rsidRDefault="00DB7AAB" w:rsidP="008D64E2">
      <w:pPr>
        <w:pStyle w:val="3BOLDArial11"/>
        <w:spacing w:line="240" w:lineRule="auto"/>
      </w:pPr>
      <w:r w:rsidRPr="007847AA">
        <w:t xml:space="preserve"> Step </w:t>
      </w:r>
      <w:r w:rsidR="008D038D" w:rsidRPr="007847AA">
        <w:t>4</w:t>
      </w:r>
      <w:r w:rsidR="002242AC" w:rsidRPr="007847AA">
        <w:t>.</w:t>
      </w:r>
      <w:r w:rsidR="00DF2C37" w:rsidRPr="007847AA">
        <w:t xml:space="preserve"> </w:t>
      </w:r>
      <w:r w:rsidR="00F90985" w:rsidRPr="007847AA">
        <w:t>Housing Unit Assistance</w:t>
      </w:r>
      <w:r w:rsidR="008A1107" w:rsidRPr="007847AA">
        <w:t xml:space="preserve"> </w:t>
      </w:r>
      <w:r w:rsidRPr="007847AA">
        <w:t>List</w:t>
      </w:r>
    </w:p>
    <w:p w14:paraId="0F0412B6" w14:textId="77777777" w:rsidR="00326D1B" w:rsidRPr="007847AA" w:rsidRDefault="00DB7AAB" w:rsidP="00C41749">
      <w:pPr>
        <w:pStyle w:val="2BULLETArial11"/>
        <w:spacing w:line="240" w:lineRule="auto"/>
        <w:ind w:left="720"/>
        <w:jc w:val="both"/>
        <w:rPr>
          <w:sz w:val="20"/>
          <w:szCs w:val="20"/>
        </w:rPr>
      </w:pPr>
      <w:r w:rsidRPr="007847AA">
        <w:t xml:space="preserve">The Grant Recipient develops a </w:t>
      </w:r>
      <w:bookmarkStart w:id="59" w:name="_Hlk66052870"/>
      <w:r w:rsidR="00F90985" w:rsidRPr="007847AA">
        <w:t>Housing Unit Assistance</w:t>
      </w:r>
      <w:r w:rsidR="008A1107" w:rsidRPr="007847AA">
        <w:t xml:space="preserve"> </w:t>
      </w:r>
      <w:bookmarkEnd w:id="59"/>
      <w:r w:rsidR="008A1107" w:rsidRPr="007847AA">
        <w:t>List</w:t>
      </w:r>
      <w:r w:rsidRPr="007847AA">
        <w:t xml:space="preserve"> of proposed assisted homeowners, based on </w:t>
      </w:r>
      <w:r w:rsidR="000C7209" w:rsidRPr="007847AA">
        <w:t xml:space="preserve">its </w:t>
      </w:r>
      <w:r w:rsidR="0062393E" w:rsidRPr="007847AA">
        <w:t xml:space="preserve">TDA </w:t>
      </w:r>
      <w:r w:rsidR="00F160F5" w:rsidRPr="007847AA">
        <w:t>a</w:t>
      </w:r>
      <w:r w:rsidR="0062393E" w:rsidRPr="007847AA">
        <w:t xml:space="preserve">pproved </w:t>
      </w:r>
      <w:r w:rsidR="00505666" w:rsidRPr="007847AA">
        <w:t>h</w:t>
      </w:r>
      <w:r w:rsidRPr="007847AA">
        <w:t xml:space="preserve">ousing </w:t>
      </w:r>
      <w:r w:rsidR="00505666" w:rsidRPr="007847AA">
        <w:t>r</w:t>
      </w:r>
      <w:r w:rsidRPr="007847AA">
        <w:t xml:space="preserve">ehabilitation </w:t>
      </w:r>
      <w:r w:rsidR="00505666" w:rsidRPr="007847AA">
        <w:t>g</w:t>
      </w:r>
      <w:r w:rsidRPr="007847AA">
        <w:t>uidelines, individual needs</w:t>
      </w:r>
      <w:r w:rsidR="00543884" w:rsidRPr="007847AA">
        <w:t>, if applicable,</w:t>
      </w:r>
      <w:r w:rsidRPr="007847AA">
        <w:t xml:space="preserve"> and dwelling condition, which lists the order in which houses may be rehabilitated. This list must be maintained at the locality.</w:t>
      </w:r>
      <w:r w:rsidR="00BE2206" w:rsidRPr="007847AA">
        <w:t xml:space="preserve"> </w:t>
      </w:r>
    </w:p>
    <w:p w14:paraId="2A4E9311" w14:textId="35797105" w:rsidR="00DB7AAB" w:rsidRPr="007847AA" w:rsidRDefault="00DB7AAB" w:rsidP="00C41749">
      <w:pPr>
        <w:pStyle w:val="2BULLETArial11"/>
        <w:spacing w:line="240" w:lineRule="auto"/>
        <w:ind w:left="720"/>
        <w:jc w:val="both"/>
        <w:rPr>
          <w:b/>
        </w:rPr>
      </w:pPr>
      <w:r w:rsidRPr="007847AA">
        <w:t xml:space="preserve">Placement on the </w:t>
      </w:r>
      <w:r w:rsidR="00F90985" w:rsidRPr="007847AA">
        <w:t xml:space="preserve">Housing Unit Assistance </w:t>
      </w:r>
      <w:r w:rsidR="008A1107" w:rsidRPr="007847AA">
        <w:t>L</w:t>
      </w:r>
      <w:r w:rsidRPr="007847AA">
        <w:t>ist does not guarantee that work will be performed on a specific house.</w:t>
      </w:r>
      <w:r w:rsidR="00DF419C" w:rsidRPr="007847AA">
        <w:t xml:space="preserve"> </w:t>
      </w:r>
      <w:r w:rsidRPr="007847AA">
        <w:t xml:space="preserve">If the work necessary to bring the house up to code exceeds the limits of the local </w:t>
      </w:r>
      <w:r w:rsidR="00DF419C" w:rsidRPr="007847AA">
        <w:t>h</w:t>
      </w:r>
      <w:r w:rsidRPr="007847AA">
        <w:t xml:space="preserve">ousing </w:t>
      </w:r>
      <w:r w:rsidR="00DF419C" w:rsidRPr="007847AA">
        <w:t>r</w:t>
      </w:r>
      <w:r w:rsidRPr="007847AA">
        <w:t xml:space="preserve">ehabilitation </w:t>
      </w:r>
      <w:r w:rsidR="00DF419C" w:rsidRPr="007847AA">
        <w:t>g</w:t>
      </w:r>
      <w:r w:rsidRPr="007847AA">
        <w:t>uidelines or the maximum TxCDBG investment of $</w:t>
      </w:r>
      <w:r w:rsidR="00237415" w:rsidRPr="007847AA">
        <w:t>75</w:t>
      </w:r>
      <w:r w:rsidRPr="007847AA">
        <w:t xml:space="preserve">,000 </w:t>
      </w:r>
      <w:r w:rsidR="008D038D" w:rsidRPr="007847AA">
        <w:t xml:space="preserve">per </w:t>
      </w:r>
      <w:r w:rsidRPr="007847AA">
        <w:t xml:space="preserve">unit, the </w:t>
      </w:r>
      <w:r w:rsidR="00F90985" w:rsidRPr="007847AA">
        <w:t xml:space="preserve">Housing Unit Assistance </w:t>
      </w:r>
      <w:r w:rsidR="008A1107" w:rsidRPr="007847AA">
        <w:t>L</w:t>
      </w:r>
      <w:r w:rsidRPr="007847AA">
        <w:t xml:space="preserve">ist scoring must be </w:t>
      </w:r>
      <w:proofErr w:type="gramStart"/>
      <w:r w:rsidRPr="007847AA">
        <w:t>re</w:t>
      </w:r>
      <w:r w:rsidR="00DF419C" w:rsidRPr="007847AA">
        <w:t>-</w:t>
      </w:r>
      <w:r w:rsidRPr="007847AA">
        <w:t>evaluated</w:t>
      </w:r>
      <w:proofErr w:type="gramEnd"/>
      <w:r w:rsidRPr="007847AA">
        <w:t xml:space="preserve"> and the house may be removed from consideration.</w:t>
      </w:r>
    </w:p>
    <w:p w14:paraId="236CC530" w14:textId="77777777" w:rsidR="008A1107" w:rsidRPr="007847AA" w:rsidRDefault="00DB7AAB" w:rsidP="00C41749">
      <w:pPr>
        <w:pStyle w:val="2BULLETArial11"/>
        <w:spacing w:line="240" w:lineRule="auto"/>
        <w:ind w:left="720"/>
        <w:jc w:val="both"/>
        <w:rPr>
          <w:b/>
        </w:rPr>
      </w:pPr>
      <w:r w:rsidRPr="007847AA">
        <w:t xml:space="preserve">If the planned rehabilitation work is not performed on one or more houses, the Grant Recipient must update the </w:t>
      </w:r>
      <w:r w:rsidR="00F90985" w:rsidRPr="007847AA">
        <w:t xml:space="preserve">Housing Unit Assistance </w:t>
      </w:r>
      <w:r w:rsidR="008A1107" w:rsidRPr="007847AA">
        <w:t>L</w:t>
      </w:r>
      <w:r w:rsidRPr="007847AA">
        <w:t xml:space="preserve">ist. </w:t>
      </w:r>
    </w:p>
    <w:p w14:paraId="1ED581A4" w14:textId="77777777" w:rsidR="008764C0" w:rsidRPr="007847AA" w:rsidRDefault="008764C0" w:rsidP="00C41749">
      <w:pPr>
        <w:pStyle w:val="2BULLETArial11"/>
        <w:numPr>
          <w:ilvl w:val="0"/>
          <w:numId w:val="0"/>
        </w:numPr>
        <w:spacing w:line="240" w:lineRule="auto"/>
        <w:ind w:left="720"/>
        <w:jc w:val="both"/>
      </w:pPr>
      <w:bookmarkStart w:id="60" w:name="_Hlk66055749"/>
    </w:p>
    <w:p w14:paraId="7FDB3F70" w14:textId="12858187" w:rsidR="008764C0" w:rsidRPr="007847AA" w:rsidRDefault="008764C0" w:rsidP="008D64E2">
      <w:pPr>
        <w:pStyle w:val="3BOLDArial11"/>
        <w:spacing w:line="240" w:lineRule="auto"/>
      </w:pPr>
      <w:r w:rsidRPr="007847AA">
        <w:t>Step 5</w:t>
      </w:r>
      <w:r w:rsidR="00C0408A" w:rsidRPr="007847AA">
        <w:t>.</w:t>
      </w:r>
      <w:r w:rsidRPr="007847AA">
        <w:t xml:space="preserve"> Site</w:t>
      </w:r>
      <w:r w:rsidR="00506BA4" w:rsidRPr="007847AA">
        <w:rPr>
          <w:b w:val="0"/>
        </w:rPr>
        <w:t>–</w:t>
      </w:r>
      <w:r w:rsidRPr="007847AA">
        <w:t>Specific Environmental Review</w:t>
      </w:r>
    </w:p>
    <w:p w14:paraId="191D9F7E" w14:textId="2016A2FC" w:rsidR="008764C0" w:rsidRPr="007847AA" w:rsidRDefault="008764C0" w:rsidP="00C41749">
      <w:pPr>
        <w:pStyle w:val="2BULLETArial11"/>
        <w:spacing w:line="240" w:lineRule="auto"/>
        <w:ind w:left="720"/>
        <w:jc w:val="both"/>
      </w:pPr>
      <w:r w:rsidRPr="007847AA">
        <w:t>A site-specific environmental review must be completed for each individual property that is considered for assistance</w:t>
      </w:r>
      <w:r w:rsidR="00345509" w:rsidRPr="007847AA">
        <w:t>, s</w:t>
      </w:r>
      <w:r w:rsidRPr="007847AA">
        <w:t xml:space="preserve">ee </w:t>
      </w:r>
      <w:r w:rsidRPr="007847AA">
        <w:rPr>
          <w:i/>
          <w:iCs w:val="0"/>
        </w:rPr>
        <w:t>Chapter 3</w:t>
      </w:r>
      <w:r w:rsidRPr="007847AA">
        <w:t xml:space="preserve"> </w:t>
      </w:r>
      <w:r w:rsidRPr="007847AA">
        <w:rPr>
          <w:i/>
          <w:iCs w:val="0"/>
        </w:rPr>
        <w:t>Environmental Review</w:t>
      </w:r>
      <w:r w:rsidR="00345509" w:rsidRPr="007847AA">
        <w:t>.</w:t>
      </w:r>
    </w:p>
    <w:p w14:paraId="207C60F1" w14:textId="77777777" w:rsidR="008764C0" w:rsidRPr="007847AA" w:rsidRDefault="008764C0" w:rsidP="00C41749">
      <w:pPr>
        <w:pStyle w:val="2BULLETArial11"/>
        <w:spacing w:line="240" w:lineRule="auto"/>
        <w:ind w:left="720"/>
        <w:jc w:val="both"/>
      </w:pPr>
      <w:r w:rsidRPr="007847AA">
        <w:t>Housing Unit Rehab</w:t>
      </w:r>
      <w:r w:rsidR="00C0408A" w:rsidRPr="007847AA">
        <w:t xml:space="preserve"> – </w:t>
      </w:r>
      <w:r w:rsidRPr="007847AA">
        <w:t xml:space="preserve">As part of the project environmental assessment the Grant Recipient must determine if the property proposed for rehabilitation has historical significance. If so, special rehabilitation requirements may apply. The Grant Recipient should consult with the Texas Historical Commission to ensure compliance with historic preservation requirements. </w:t>
      </w:r>
    </w:p>
    <w:bookmarkEnd w:id="60"/>
    <w:p w14:paraId="5E9FD1EB" w14:textId="77777777" w:rsidR="00DB7AAB" w:rsidRPr="007847AA" w:rsidRDefault="00DB7AAB" w:rsidP="008D64E2">
      <w:pPr>
        <w:autoSpaceDE w:val="0"/>
        <w:autoSpaceDN w:val="0"/>
        <w:adjustRightInd w:val="0"/>
        <w:ind w:left="720"/>
        <w:jc w:val="both"/>
        <w:rPr>
          <w:rFonts w:cs="Arial"/>
          <w:sz w:val="18"/>
          <w:szCs w:val="22"/>
        </w:rPr>
      </w:pPr>
    </w:p>
    <w:p w14:paraId="34451271" w14:textId="77777777" w:rsidR="00DB7AAB" w:rsidRPr="007847AA" w:rsidRDefault="00DB7AAB" w:rsidP="008D64E2">
      <w:pPr>
        <w:pStyle w:val="3BOLDArial11"/>
        <w:spacing w:line="240" w:lineRule="auto"/>
      </w:pPr>
      <w:r w:rsidRPr="007847AA">
        <w:t xml:space="preserve"> Step </w:t>
      </w:r>
      <w:r w:rsidR="008764C0" w:rsidRPr="007847AA">
        <w:t>6</w:t>
      </w:r>
      <w:r w:rsidR="00C0408A" w:rsidRPr="007847AA">
        <w:t>.</w:t>
      </w:r>
      <w:r w:rsidR="00A32B38" w:rsidRPr="007847AA">
        <w:t xml:space="preserve"> </w:t>
      </w:r>
      <w:r w:rsidR="00CC60AE" w:rsidRPr="007847AA">
        <w:t xml:space="preserve">Property </w:t>
      </w:r>
      <w:r w:rsidRPr="007847AA">
        <w:t xml:space="preserve">Assessments </w:t>
      </w:r>
    </w:p>
    <w:p w14:paraId="58E14C5F" w14:textId="4F339B5F" w:rsidR="00353BD7" w:rsidRPr="007847AA" w:rsidRDefault="00353BD7" w:rsidP="00C41749">
      <w:pPr>
        <w:pStyle w:val="2BULLETArial11"/>
        <w:spacing w:line="240" w:lineRule="auto"/>
        <w:ind w:left="720"/>
        <w:jc w:val="both"/>
      </w:pPr>
      <w:r w:rsidRPr="007847AA">
        <w:t xml:space="preserve">The Grant Recipient shall complete the </w:t>
      </w:r>
      <w:r w:rsidR="00AB6D37" w:rsidRPr="007847AA">
        <w:t>Materials and Services Report</w:t>
      </w:r>
      <w:r w:rsidRPr="007847AA">
        <w:t xml:space="preserve"> </w:t>
      </w:r>
      <w:r w:rsidR="00237889" w:rsidRPr="007847AA">
        <w:t xml:space="preserve">(MSR) </w:t>
      </w:r>
      <w:r w:rsidRPr="007847AA">
        <w:t>in the TDA-GO system for each service contract related to the property assessment process</w:t>
      </w:r>
      <w:r w:rsidR="00345509" w:rsidRPr="007847AA">
        <w:t>, s</w:t>
      </w:r>
      <w:r w:rsidRPr="007847AA">
        <w:t xml:space="preserve">ee </w:t>
      </w:r>
      <w:r w:rsidRPr="007847AA">
        <w:rPr>
          <w:i/>
          <w:iCs w:val="0"/>
        </w:rPr>
        <w:t>Chapter 5</w:t>
      </w:r>
      <w:r w:rsidR="00345509" w:rsidRPr="007847AA">
        <w:t xml:space="preserve"> </w:t>
      </w:r>
      <w:r w:rsidR="00345509" w:rsidRPr="007847AA">
        <w:rPr>
          <w:i/>
          <w:iCs w:val="0"/>
        </w:rPr>
        <w:t>Procurement Procedures</w:t>
      </w:r>
      <w:r w:rsidR="00345509" w:rsidRPr="007847AA">
        <w:t>.</w:t>
      </w:r>
    </w:p>
    <w:p w14:paraId="563BB1C0" w14:textId="77777777" w:rsidR="00353BD7" w:rsidRPr="007847AA" w:rsidRDefault="00392DFC" w:rsidP="00C41749">
      <w:pPr>
        <w:pStyle w:val="2BULLETArial11"/>
        <w:spacing w:line="240" w:lineRule="auto"/>
        <w:ind w:left="720"/>
        <w:jc w:val="both"/>
      </w:pPr>
      <w:r w:rsidRPr="007847AA">
        <w:rPr>
          <w:b/>
          <w:bCs/>
        </w:rPr>
        <w:t xml:space="preserve">Housing Unit Rehab </w:t>
      </w:r>
      <w:r w:rsidR="00EA0F71" w:rsidRPr="007847AA">
        <w:rPr>
          <w:b/>
          <w:bCs/>
        </w:rPr>
        <w:t>O</w:t>
      </w:r>
      <w:r w:rsidRPr="007847AA">
        <w:rPr>
          <w:b/>
          <w:bCs/>
        </w:rPr>
        <w:t>nly</w:t>
      </w:r>
      <w:r w:rsidR="00EA0F71" w:rsidRPr="007847AA">
        <w:t>:</w:t>
      </w:r>
    </w:p>
    <w:p w14:paraId="4B1EF967" w14:textId="7C0427FA" w:rsidR="00392DFC" w:rsidRPr="007847AA" w:rsidRDefault="00392DFC" w:rsidP="00C41749">
      <w:pPr>
        <w:pStyle w:val="2BULLETArial11"/>
        <w:numPr>
          <w:ilvl w:val="0"/>
          <w:numId w:val="22"/>
        </w:numPr>
        <w:spacing w:line="240" w:lineRule="auto"/>
        <w:ind w:left="1080"/>
        <w:jc w:val="both"/>
      </w:pPr>
      <w:r w:rsidRPr="007847AA">
        <w:t xml:space="preserve">The </w:t>
      </w:r>
      <w:r w:rsidR="00353BD7" w:rsidRPr="007847AA">
        <w:t>a</w:t>
      </w:r>
      <w:r w:rsidRPr="007847AA">
        <w:t xml:space="preserve">ssessment </w:t>
      </w:r>
      <w:r w:rsidR="00345509" w:rsidRPr="007847AA">
        <w:rPr>
          <w:i/>
          <w:iCs w:val="0"/>
        </w:rPr>
        <w:t>Housing Rehabilitation Work Write-up and Cost Estimate Worksheet</w:t>
      </w:r>
      <w:r w:rsidR="00345509" w:rsidRPr="007847AA">
        <w:t xml:space="preserve"> </w:t>
      </w:r>
      <w:r w:rsidR="00C0408A" w:rsidRPr="007847AA">
        <w:rPr>
          <w:b/>
          <w:bCs/>
        </w:rPr>
        <w:t>(</w:t>
      </w:r>
      <w:r w:rsidRPr="007847AA">
        <w:rPr>
          <w:b/>
          <w:bCs/>
        </w:rPr>
        <w:t>Form C3</w:t>
      </w:r>
      <w:r w:rsidR="00C0408A" w:rsidRPr="007847AA">
        <w:rPr>
          <w:b/>
          <w:bCs/>
        </w:rPr>
        <w:t>)</w:t>
      </w:r>
      <w:r w:rsidR="00353BD7" w:rsidRPr="007847AA">
        <w:rPr>
          <w:b/>
          <w:bCs/>
        </w:rPr>
        <w:t>.</w:t>
      </w:r>
    </w:p>
    <w:p w14:paraId="7E52B869" w14:textId="77777777" w:rsidR="00B147BF" w:rsidRPr="007847AA" w:rsidRDefault="00B147BF" w:rsidP="00C41749">
      <w:pPr>
        <w:pStyle w:val="2BULLETArial11"/>
        <w:numPr>
          <w:ilvl w:val="0"/>
          <w:numId w:val="22"/>
        </w:numPr>
        <w:spacing w:line="240" w:lineRule="auto"/>
        <w:ind w:left="1080"/>
        <w:jc w:val="both"/>
      </w:pPr>
      <w:r w:rsidRPr="007847AA">
        <w:t>The Grant Recipient performs an on-site code inspection on the home, both exterior and interior, for each application on the Housing Unit Assistance List to determine if the house can be rehabilitated within the funding limits of the program.</w:t>
      </w:r>
    </w:p>
    <w:p w14:paraId="467985BC" w14:textId="77777777" w:rsidR="00EA0F71" w:rsidRPr="007847AA" w:rsidRDefault="00353BD7" w:rsidP="00C41749">
      <w:pPr>
        <w:pStyle w:val="2BULLETArial11"/>
        <w:numPr>
          <w:ilvl w:val="0"/>
          <w:numId w:val="22"/>
        </w:numPr>
        <w:spacing w:line="240" w:lineRule="auto"/>
        <w:ind w:left="1080"/>
        <w:jc w:val="both"/>
        <w:rPr>
          <w:b/>
          <w:bCs/>
        </w:rPr>
      </w:pPr>
      <w:r w:rsidRPr="007847AA">
        <w:t xml:space="preserve">Upload </w:t>
      </w:r>
      <w:r w:rsidR="00C0408A" w:rsidRPr="007847AA">
        <w:t xml:space="preserve">the </w:t>
      </w:r>
      <w:r w:rsidR="00C0408A" w:rsidRPr="007847AA">
        <w:rPr>
          <w:i/>
          <w:iCs w:val="0"/>
        </w:rPr>
        <w:t>Home Inspector Qualification Certification</w:t>
      </w:r>
      <w:r w:rsidR="00C0408A" w:rsidRPr="007847AA">
        <w:t xml:space="preserve"> </w:t>
      </w:r>
      <w:r w:rsidR="00C0408A" w:rsidRPr="007847AA">
        <w:rPr>
          <w:b/>
          <w:bCs/>
        </w:rPr>
        <w:t xml:space="preserve">(Form C8) </w:t>
      </w:r>
      <w:r w:rsidRPr="007847AA">
        <w:t xml:space="preserve">to the </w:t>
      </w:r>
      <w:r w:rsidR="00237889" w:rsidRPr="007847AA">
        <w:t>MSR</w:t>
      </w:r>
      <w:r w:rsidR="00EA0F71" w:rsidRPr="007847AA">
        <w:t>.</w:t>
      </w:r>
    </w:p>
    <w:p w14:paraId="3F0C6539" w14:textId="77777777" w:rsidR="00353BD7" w:rsidRPr="007847AA" w:rsidRDefault="00392DFC" w:rsidP="00C41749">
      <w:pPr>
        <w:pStyle w:val="2BULLETArial11"/>
        <w:spacing w:line="240" w:lineRule="auto"/>
        <w:ind w:left="720"/>
        <w:jc w:val="both"/>
        <w:rPr>
          <w:b/>
          <w:bCs/>
        </w:rPr>
      </w:pPr>
      <w:r w:rsidRPr="007847AA">
        <w:rPr>
          <w:b/>
          <w:bCs/>
        </w:rPr>
        <w:t xml:space="preserve">OSSF </w:t>
      </w:r>
      <w:r w:rsidR="00EA0F71" w:rsidRPr="007847AA">
        <w:rPr>
          <w:b/>
          <w:bCs/>
        </w:rPr>
        <w:t>A</w:t>
      </w:r>
      <w:r w:rsidRPr="007847AA">
        <w:rPr>
          <w:b/>
          <w:bCs/>
        </w:rPr>
        <w:t xml:space="preserve">ssistance </w:t>
      </w:r>
      <w:r w:rsidR="00EA0F71" w:rsidRPr="007847AA">
        <w:rPr>
          <w:b/>
          <w:bCs/>
        </w:rPr>
        <w:t>O</w:t>
      </w:r>
      <w:r w:rsidRPr="007847AA">
        <w:rPr>
          <w:b/>
          <w:bCs/>
        </w:rPr>
        <w:t xml:space="preserve">nly: </w:t>
      </w:r>
    </w:p>
    <w:p w14:paraId="59941312" w14:textId="77777777" w:rsidR="00392DFC" w:rsidRPr="007847AA" w:rsidRDefault="00392DFC" w:rsidP="00C41749">
      <w:pPr>
        <w:pStyle w:val="2BULLETArial11"/>
        <w:numPr>
          <w:ilvl w:val="0"/>
          <w:numId w:val="23"/>
        </w:numPr>
        <w:spacing w:line="240" w:lineRule="auto"/>
        <w:ind w:left="1080"/>
        <w:jc w:val="both"/>
      </w:pPr>
      <w:r w:rsidRPr="007847AA">
        <w:t xml:space="preserve">The </w:t>
      </w:r>
      <w:r w:rsidR="00353BD7" w:rsidRPr="007847AA">
        <w:t>a</w:t>
      </w:r>
      <w:r w:rsidRPr="007847AA">
        <w:t>ssessment is known as the Soil Evaluation</w:t>
      </w:r>
      <w:r w:rsidR="00353BD7" w:rsidRPr="007847AA">
        <w:t>.</w:t>
      </w:r>
    </w:p>
    <w:p w14:paraId="20AC91CD" w14:textId="77777777" w:rsidR="00353BD7" w:rsidRPr="007847AA" w:rsidRDefault="00353BD7" w:rsidP="00C41749">
      <w:pPr>
        <w:pStyle w:val="2BULLETArial11"/>
        <w:numPr>
          <w:ilvl w:val="0"/>
          <w:numId w:val="23"/>
        </w:numPr>
        <w:spacing w:line="240" w:lineRule="auto"/>
        <w:ind w:left="1080"/>
        <w:jc w:val="both"/>
      </w:pPr>
      <w:r w:rsidRPr="007847AA">
        <w:t xml:space="preserve">Upload </w:t>
      </w:r>
      <w:r w:rsidR="00C0408A" w:rsidRPr="007847AA">
        <w:t xml:space="preserve">the TCEQ license information </w:t>
      </w:r>
      <w:r w:rsidRPr="007847AA">
        <w:t xml:space="preserve">to the </w:t>
      </w:r>
      <w:r w:rsidR="00237889" w:rsidRPr="007847AA">
        <w:t>MSR</w:t>
      </w:r>
      <w:r w:rsidR="00C0408A" w:rsidRPr="007847AA">
        <w:t>.</w:t>
      </w:r>
    </w:p>
    <w:p w14:paraId="17622D68" w14:textId="0D761D52" w:rsidR="00353BD7" w:rsidRPr="007847AA" w:rsidRDefault="00353BD7" w:rsidP="00C41749">
      <w:pPr>
        <w:pStyle w:val="2BULLETArial11"/>
        <w:spacing w:line="240" w:lineRule="auto"/>
        <w:ind w:left="720"/>
        <w:jc w:val="both"/>
      </w:pPr>
      <w:r w:rsidRPr="007847AA">
        <w:t xml:space="preserve">Scattered </w:t>
      </w:r>
      <w:r w:rsidR="00B44D22" w:rsidRPr="007847AA">
        <w:t>Yard line</w:t>
      </w:r>
      <w:r w:rsidRPr="007847AA">
        <w:t xml:space="preserve"> Assistance</w:t>
      </w:r>
      <w:r w:rsidR="00C0408A" w:rsidRPr="007847AA">
        <w:t xml:space="preserve"> – </w:t>
      </w:r>
      <w:r w:rsidRPr="007847AA">
        <w:t>No assessment is needed other than the engineer’s plans and specifications.</w:t>
      </w:r>
    </w:p>
    <w:p w14:paraId="2C74B0A5" w14:textId="26C6CCF2" w:rsidR="00392DFC" w:rsidRPr="007847AA" w:rsidRDefault="00392DFC" w:rsidP="00C41749">
      <w:pPr>
        <w:pStyle w:val="2BULLETArial11"/>
        <w:spacing w:line="240" w:lineRule="auto"/>
        <w:ind w:left="720"/>
        <w:jc w:val="both"/>
      </w:pPr>
      <w:r w:rsidRPr="007847AA">
        <w:t xml:space="preserve">If the assessment indicates that the necessary </w:t>
      </w:r>
      <w:r w:rsidR="00353BD7" w:rsidRPr="007847AA">
        <w:t xml:space="preserve">costs to complete the project exceed </w:t>
      </w:r>
      <w:r w:rsidRPr="007847AA">
        <w:t xml:space="preserve">the </w:t>
      </w:r>
      <w:r w:rsidR="00353BD7" w:rsidRPr="007847AA">
        <w:t xml:space="preserve">funding </w:t>
      </w:r>
      <w:r w:rsidRPr="007847AA">
        <w:t xml:space="preserve">limits </w:t>
      </w:r>
      <w:proofErr w:type="gramStart"/>
      <w:r w:rsidR="00353BD7" w:rsidRPr="007847AA">
        <w:t>identified</w:t>
      </w:r>
      <w:proofErr w:type="gramEnd"/>
      <w:r w:rsidRPr="007847AA">
        <w:t xml:space="preserve"> the housing rehabilitation guidelines, return to Step </w:t>
      </w:r>
      <w:r w:rsidR="00353BD7" w:rsidRPr="007847AA">
        <w:t>4</w:t>
      </w:r>
      <w:r w:rsidRPr="007847AA">
        <w:t xml:space="preserve"> or document the availability of additional leveraging funds.</w:t>
      </w:r>
    </w:p>
    <w:p w14:paraId="20DA1DD3" w14:textId="77777777" w:rsidR="009A4A6C" w:rsidRPr="007847AA" w:rsidRDefault="009A4A6C" w:rsidP="008D64E2">
      <w:pPr>
        <w:tabs>
          <w:tab w:val="left" w:pos="3879"/>
        </w:tabs>
        <w:autoSpaceDE w:val="0"/>
        <w:autoSpaceDN w:val="0"/>
        <w:adjustRightInd w:val="0"/>
        <w:jc w:val="both"/>
      </w:pPr>
    </w:p>
    <w:p w14:paraId="6AB6DB6D" w14:textId="77777777" w:rsidR="00235CA0" w:rsidRPr="007847AA" w:rsidRDefault="00DB7AAB" w:rsidP="008D64E2">
      <w:pPr>
        <w:pStyle w:val="3BOLDArial11"/>
        <w:spacing w:line="240" w:lineRule="auto"/>
      </w:pPr>
      <w:r w:rsidRPr="007847AA">
        <w:t xml:space="preserve">Step </w:t>
      </w:r>
      <w:r w:rsidR="008764C0" w:rsidRPr="007847AA">
        <w:t>7</w:t>
      </w:r>
      <w:r w:rsidR="00A32B38" w:rsidRPr="007847AA">
        <w:t xml:space="preserve">. </w:t>
      </w:r>
      <w:r w:rsidRPr="007847AA">
        <w:t>Construction Bi</w:t>
      </w:r>
      <w:r w:rsidR="00C0408A" w:rsidRPr="007847AA">
        <w:t>d</w:t>
      </w:r>
    </w:p>
    <w:p w14:paraId="69BFDD48" w14:textId="329A292F" w:rsidR="00345509" w:rsidRPr="007847AA" w:rsidRDefault="00345509" w:rsidP="00C41749">
      <w:pPr>
        <w:pStyle w:val="2BULLETArial11"/>
        <w:spacing w:line="240" w:lineRule="auto"/>
        <w:ind w:left="720"/>
        <w:jc w:val="both"/>
      </w:pPr>
      <w:bookmarkStart w:id="61" w:name="_Hlk66054461"/>
      <w:r w:rsidRPr="007847AA">
        <w:t xml:space="preserve">Detailed step-by-step instructions for completing and submitting an MSR in TDA-GO may be found on the TDA website. </w:t>
      </w:r>
    </w:p>
    <w:p w14:paraId="7AE69E58" w14:textId="48052DC9" w:rsidR="00235CA0" w:rsidRPr="007847AA" w:rsidRDefault="00CA0B52" w:rsidP="00C41749">
      <w:pPr>
        <w:pStyle w:val="2BULLETArial11"/>
        <w:spacing w:line="240" w:lineRule="auto"/>
        <w:ind w:left="720"/>
        <w:jc w:val="both"/>
      </w:pPr>
      <w:r w:rsidRPr="007847AA">
        <w:t xml:space="preserve">Davis-Bacon </w:t>
      </w:r>
      <w:r w:rsidR="00AC2C3E" w:rsidRPr="007847AA">
        <w:t xml:space="preserve">and Related </w:t>
      </w:r>
      <w:r w:rsidR="00BB63EB" w:rsidRPr="007847AA">
        <w:t>Act</w:t>
      </w:r>
      <w:r w:rsidR="00AC2C3E" w:rsidRPr="007847AA">
        <w:t>s</w:t>
      </w:r>
      <w:r w:rsidR="00BB63EB" w:rsidRPr="007847AA">
        <w:t xml:space="preserve"> </w:t>
      </w:r>
      <w:r w:rsidRPr="007847AA">
        <w:t xml:space="preserve">labor standards generally do not apply to projects involving rehabilitation of single-family </w:t>
      </w:r>
      <w:r w:rsidR="00345509" w:rsidRPr="007847AA">
        <w:t>homes unless</w:t>
      </w:r>
      <w:r w:rsidRPr="007847AA">
        <w:t xml:space="preserve"> the work involves up to eight housing units in two or more structures from a single owner. </w:t>
      </w:r>
      <w:r w:rsidR="00235CA0" w:rsidRPr="007847AA">
        <w:t xml:space="preserve">The </w:t>
      </w:r>
      <w:r w:rsidR="00AB6D37" w:rsidRPr="007847AA">
        <w:t xml:space="preserve">MSR </w:t>
      </w:r>
      <w:r w:rsidR="00235CA0" w:rsidRPr="007847AA">
        <w:t xml:space="preserve">should document the exemption from Davis-Bacon </w:t>
      </w:r>
      <w:r w:rsidR="00AC2C3E" w:rsidRPr="007847AA">
        <w:t xml:space="preserve">and Related </w:t>
      </w:r>
      <w:r w:rsidR="00BB63EB" w:rsidRPr="007847AA">
        <w:t>Act</w:t>
      </w:r>
      <w:r w:rsidR="00AC2C3E" w:rsidRPr="007847AA">
        <w:t>s</w:t>
      </w:r>
      <w:r w:rsidR="00BB63EB" w:rsidRPr="007847AA">
        <w:t xml:space="preserve"> </w:t>
      </w:r>
      <w:r w:rsidR="00235CA0" w:rsidRPr="007847AA">
        <w:t>labor standards, as applicable.</w:t>
      </w:r>
    </w:p>
    <w:bookmarkEnd w:id="61"/>
    <w:p w14:paraId="7C558C0D" w14:textId="77777777" w:rsidR="001C2AD9" w:rsidRPr="007847AA" w:rsidRDefault="001C2AD9" w:rsidP="00C41749">
      <w:pPr>
        <w:pStyle w:val="2BULLETArial11"/>
        <w:spacing w:line="240" w:lineRule="auto"/>
        <w:ind w:left="720"/>
        <w:jc w:val="both"/>
      </w:pPr>
      <w:r w:rsidRPr="007847AA">
        <w:rPr>
          <w:b/>
          <w:bCs/>
        </w:rPr>
        <w:t xml:space="preserve">Housing Unit Rehab </w:t>
      </w:r>
      <w:r w:rsidR="00EA0F71" w:rsidRPr="007847AA">
        <w:rPr>
          <w:b/>
          <w:bCs/>
        </w:rPr>
        <w:t>O</w:t>
      </w:r>
      <w:r w:rsidRPr="007847AA">
        <w:rPr>
          <w:b/>
          <w:bCs/>
        </w:rPr>
        <w:t>nl</w:t>
      </w:r>
      <w:r w:rsidR="00C0408A" w:rsidRPr="007847AA">
        <w:rPr>
          <w:b/>
          <w:bCs/>
        </w:rPr>
        <w:t>y</w:t>
      </w:r>
      <w:r w:rsidR="00EA0F71" w:rsidRPr="007847AA">
        <w:t xml:space="preserve"> – </w:t>
      </w:r>
      <w:r w:rsidR="00C0408A" w:rsidRPr="007847AA">
        <w:t>A</w:t>
      </w:r>
      <w:r w:rsidRPr="007847AA">
        <w:t xml:space="preserve"> separate construction contract is required for each homeowner. </w:t>
      </w:r>
    </w:p>
    <w:p w14:paraId="78EAD91D" w14:textId="77777777" w:rsidR="001C2AD9" w:rsidRPr="007847AA" w:rsidRDefault="001C2AD9" w:rsidP="00C41749">
      <w:pPr>
        <w:pStyle w:val="2BULLETArial11"/>
        <w:numPr>
          <w:ilvl w:val="0"/>
          <w:numId w:val="24"/>
        </w:numPr>
        <w:spacing w:line="240" w:lineRule="auto"/>
        <w:ind w:left="1080"/>
        <w:jc w:val="both"/>
      </w:pPr>
      <w:r w:rsidRPr="007847AA">
        <w:t>The bidders conduct on-site inspections of each house recommended for rehabilitation.</w:t>
      </w:r>
    </w:p>
    <w:p w14:paraId="64981A41" w14:textId="77777777" w:rsidR="001C2AD9" w:rsidRPr="007847AA" w:rsidRDefault="001C2AD9" w:rsidP="00C41749">
      <w:pPr>
        <w:pStyle w:val="2BULLETArial11"/>
        <w:numPr>
          <w:ilvl w:val="0"/>
          <w:numId w:val="24"/>
        </w:numPr>
        <w:spacing w:line="240" w:lineRule="auto"/>
        <w:ind w:left="1080"/>
        <w:jc w:val="both"/>
      </w:pPr>
      <w:r w:rsidRPr="007847AA">
        <w:t>The Grant Recipient receives bids and awards the contract to the low bidder on each home. The homeowner and construction contractor execute the rehabilitation contract.</w:t>
      </w:r>
    </w:p>
    <w:p w14:paraId="3A341F08" w14:textId="77777777" w:rsidR="001C2AD9" w:rsidRPr="007847AA" w:rsidRDefault="001C2AD9" w:rsidP="00C41749">
      <w:pPr>
        <w:pStyle w:val="2BULLETArial11"/>
        <w:numPr>
          <w:ilvl w:val="0"/>
          <w:numId w:val="24"/>
        </w:numPr>
        <w:spacing w:line="240" w:lineRule="auto"/>
        <w:ind w:left="1080"/>
        <w:jc w:val="both"/>
      </w:pPr>
      <w:r w:rsidRPr="007847AA">
        <w:t xml:space="preserve">The homeowner and Grant Recipient execute the five-year forgivable loan promissory note. Under no circumstances may construction work commence prior to a fully executed loan agreement.  </w:t>
      </w:r>
    </w:p>
    <w:p w14:paraId="7C975390" w14:textId="6FCDA51A" w:rsidR="00E23BEB" w:rsidRPr="007847AA" w:rsidRDefault="001C2AD9" w:rsidP="00C41749">
      <w:pPr>
        <w:pStyle w:val="2BULLETArial11"/>
        <w:numPr>
          <w:ilvl w:val="0"/>
          <w:numId w:val="24"/>
        </w:numPr>
        <w:spacing w:line="240" w:lineRule="auto"/>
        <w:ind w:left="1080"/>
        <w:jc w:val="both"/>
        <w:rPr>
          <w:i/>
        </w:rPr>
      </w:pPr>
      <w:r w:rsidRPr="007847AA">
        <w:t xml:space="preserve">Upload a copy of the </w:t>
      </w:r>
      <w:r w:rsidRPr="007847AA">
        <w:rPr>
          <w:i/>
        </w:rPr>
        <w:t xml:space="preserve">Housing Rehabilitation Work Write-up and Cost Estimate Worksheet </w:t>
      </w:r>
      <w:r w:rsidRPr="007847AA">
        <w:rPr>
          <w:b/>
          <w:bCs/>
        </w:rPr>
        <w:t>(Form C3)</w:t>
      </w:r>
      <w:r w:rsidRPr="007847AA">
        <w:t>,</w:t>
      </w:r>
      <w:r w:rsidRPr="007847AA">
        <w:rPr>
          <w:b/>
          <w:bCs/>
        </w:rPr>
        <w:t xml:space="preserve"> </w:t>
      </w:r>
      <w:r w:rsidRPr="007847AA">
        <w:t xml:space="preserve">including the homeowner’s signature acknowledging all required information, to the </w:t>
      </w:r>
      <w:r w:rsidR="00237889" w:rsidRPr="007847AA">
        <w:t>MSR</w:t>
      </w:r>
      <w:r w:rsidR="002347D8" w:rsidRPr="007847AA">
        <w:t xml:space="preserve"> </w:t>
      </w:r>
      <w:r w:rsidRPr="007847AA">
        <w:t>in the TDA-GO system.</w:t>
      </w:r>
    </w:p>
    <w:p w14:paraId="546DBD76" w14:textId="2FE844AA" w:rsidR="00E23BEB" w:rsidRPr="007847AA" w:rsidRDefault="00E23BEB" w:rsidP="00C41749">
      <w:pPr>
        <w:pStyle w:val="2BULLETArial11"/>
        <w:spacing w:line="240" w:lineRule="auto"/>
        <w:ind w:left="720"/>
        <w:jc w:val="both"/>
      </w:pPr>
      <w:r w:rsidRPr="007847AA">
        <w:rPr>
          <w:b/>
          <w:bCs/>
        </w:rPr>
        <w:t>OSSF Assistance Only</w:t>
      </w:r>
      <w:r w:rsidRPr="007847AA">
        <w:t xml:space="preserve"> - The Grant Recipient may procure construction services for OSSF installation in batches through sealed bidding procurement by including all households approved for assistance as of the date of the bid publication. If the total anticipated construction costs for the group of approved installations is less than or equal to $</w:t>
      </w:r>
      <w:r w:rsidR="00237415" w:rsidRPr="007847AA">
        <w:t>75</w:t>
      </w:r>
      <w:r w:rsidRPr="007847AA">
        <w:t xml:space="preserve">,000, the Grant Recipient may use the small purchase method. However, the Grant Recipient must avoid component, separate, or sequential purchases as defined by the Texas Local Government Code and described in </w:t>
      </w:r>
      <w:r w:rsidRPr="007847AA">
        <w:rPr>
          <w:i/>
          <w:iCs w:val="0"/>
        </w:rPr>
        <w:t>Chapter 5</w:t>
      </w:r>
      <w:r w:rsidR="00C41749" w:rsidRPr="007847AA">
        <w:rPr>
          <w:i/>
          <w:iCs w:val="0"/>
        </w:rPr>
        <w:t xml:space="preserve"> Procurement Procedures</w:t>
      </w:r>
      <w:r w:rsidRPr="007847AA">
        <w:rPr>
          <w:i/>
          <w:iCs w:val="0"/>
        </w:rPr>
        <w:t>.</w:t>
      </w:r>
      <w:r w:rsidRPr="007847AA">
        <w:t xml:space="preserve">  After a round of small purchase installations has been procured and a construction contract awarded, the Grant Recipient may only procure a subsequent round of small purchase installations if the following conditions have been met.</w:t>
      </w:r>
    </w:p>
    <w:p w14:paraId="110A4557" w14:textId="77777777" w:rsidR="00E23BEB" w:rsidRPr="007847AA" w:rsidRDefault="00E23BEB" w:rsidP="00C41749">
      <w:pPr>
        <w:pStyle w:val="2BULLETArial11"/>
        <w:numPr>
          <w:ilvl w:val="0"/>
          <w:numId w:val="28"/>
        </w:numPr>
        <w:spacing w:line="240" w:lineRule="auto"/>
        <w:jc w:val="both"/>
      </w:pPr>
      <w:r w:rsidRPr="007847AA">
        <w:t xml:space="preserve">The Grant Recipient has determined that procurement through sealed bidding for all applicants for assistance at once is not practicable due to the administrative constraints and time necessary to qualify eligible homeowners/residents. </w:t>
      </w:r>
    </w:p>
    <w:p w14:paraId="5212DC8B" w14:textId="77777777" w:rsidR="00E23BEB" w:rsidRPr="007847AA" w:rsidRDefault="00E23BEB" w:rsidP="00C41749">
      <w:pPr>
        <w:pStyle w:val="2BULLETArial11"/>
        <w:numPr>
          <w:ilvl w:val="0"/>
          <w:numId w:val="28"/>
        </w:numPr>
        <w:spacing w:line="240" w:lineRule="auto"/>
        <w:jc w:val="both"/>
      </w:pPr>
      <w:r w:rsidRPr="007847AA">
        <w:t xml:space="preserve">The homeowner/resident applications for assistance were approved after the date on which the previous small purchase contract was awarded. </w:t>
      </w:r>
    </w:p>
    <w:p w14:paraId="38A39457" w14:textId="77777777" w:rsidR="00E23BEB" w:rsidRPr="007847AA" w:rsidRDefault="00E23BEB" w:rsidP="00C41749">
      <w:pPr>
        <w:pStyle w:val="2BULLETArial11"/>
        <w:numPr>
          <w:ilvl w:val="0"/>
          <w:numId w:val="28"/>
        </w:numPr>
        <w:spacing w:line="240" w:lineRule="auto"/>
        <w:jc w:val="both"/>
      </w:pPr>
      <w:r w:rsidRPr="007847AA">
        <w:t xml:space="preserve">The </w:t>
      </w:r>
      <w:r w:rsidR="00075960" w:rsidRPr="007847AA">
        <w:t>Grant Recipient</w:t>
      </w:r>
      <w:r w:rsidRPr="007847AA">
        <w:t xml:space="preserve"> approved the next group of installations after the date on which the previous small purchase contract was awarded.</w:t>
      </w:r>
    </w:p>
    <w:p w14:paraId="767EB142" w14:textId="77777777" w:rsidR="00075960" w:rsidRPr="007847AA" w:rsidRDefault="00075960" w:rsidP="00C41749">
      <w:pPr>
        <w:pStyle w:val="2BULLETArial11"/>
        <w:numPr>
          <w:ilvl w:val="0"/>
          <w:numId w:val="28"/>
        </w:numPr>
        <w:spacing w:line="240" w:lineRule="auto"/>
        <w:jc w:val="both"/>
      </w:pPr>
      <w:r w:rsidRPr="007847AA">
        <w:t>The Grant Recipient has notified TDA of these conditions and received approval to use small purchase procurement procedures for a new construction contract.</w:t>
      </w:r>
    </w:p>
    <w:p w14:paraId="42C9059C" w14:textId="77777777" w:rsidR="00C41749" w:rsidRPr="007847AA" w:rsidRDefault="001C2AD9" w:rsidP="00C41749">
      <w:pPr>
        <w:pStyle w:val="2BULLETArial11"/>
        <w:spacing w:line="240" w:lineRule="auto"/>
        <w:jc w:val="both"/>
      </w:pPr>
      <w:r w:rsidRPr="007847AA">
        <w:t>Installer must bid unit prices that specifically itemize the following</w:t>
      </w:r>
      <w:r w:rsidR="00E04486" w:rsidRPr="007847AA">
        <w:t>:</w:t>
      </w:r>
      <w:r w:rsidRPr="007847AA">
        <w:t xml:space="preserve"> </w:t>
      </w:r>
    </w:p>
    <w:p w14:paraId="078F1495" w14:textId="1EED66CB" w:rsidR="00C41749" w:rsidRPr="007847AA" w:rsidRDefault="009E7366" w:rsidP="00C41749">
      <w:pPr>
        <w:pStyle w:val="3Bulletedlist"/>
        <w:numPr>
          <w:ilvl w:val="0"/>
          <w:numId w:val="31"/>
        </w:numPr>
      </w:pPr>
      <w:r w:rsidRPr="007847AA">
        <w:t>P</w:t>
      </w:r>
      <w:r w:rsidR="001C2AD9" w:rsidRPr="007847AA">
        <w:t xml:space="preserve">lumbing </w:t>
      </w:r>
      <w:proofErr w:type="gramStart"/>
      <w:r w:rsidR="001C2AD9" w:rsidRPr="007847AA">
        <w:t>improvements</w:t>
      </w:r>
      <w:r w:rsidR="00C41749" w:rsidRPr="007847AA">
        <w:t>;</w:t>
      </w:r>
      <w:proofErr w:type="gramEnd"/>
    </w:p>
    <w:p w14:paraId="51E8C266" w14:textId="77777777" w:rsidR="00C41749" w:rsidRPr="007847AA" w:rsidRDefault="009E7366" w:rsidP="00C41749">
      <w:pPr>
        <w:pStyle w:val="3Bulletedlist"/>
        <w:numPr>
          <w:ilvl w:val="0"/>
          <w:numId w:val="31"/>
        </w:numPr>
      </w:pPr>
      <w:r w:rsidRPr="007847AA">
        <w:t>B</w:t>
      </w:r>
      <w:r w:rsidR="001C2AD9" w:rsidRPr="007847AA">
        <w:t>asic installation and connection</w:t>
      </w:r>
      <w:r w:rsidR="00C41749" w:rsidRPr="007847AA">
        <w:t>;</w:t>
      </w:r>
      <w:r w:rsidR="001C2AD9" w:rsidRPr="007847AA">
        <w:t xml:space="preserve"> and</w:t>
      </w:r>
      <w:r w:rsidR="00E04486" w:rsidRPr="007847AA">
        <w:t xml:space="preserve"> </w:t>
      </w:r>
    </w:p>
    <w:p w14:paraId="070EC7A0" w14:textId="77777777" w:rsidR="00C41749" w:rsidRPr="007847AA" w:rsidRDefault="009E7366" w:rsidP="00C41749">
      <w:pPr>
        <w:pStyle w:val="3Bulletedlist"/>
        <w:numPr>
          <w:ilvl w:val="0"/>
          <w:numId w:val="31"/>
        </w:numPr>
      </w:pPr>
      <w:r w:rsidRPr="007847AA">
        <w:t>M</w:t>
      </w:r>
      <w:r w:rsidR="001C2AD9" w:rsidRPr="007847AA">
        <w:t xml:space="preserve">itigation. </w:t>
      </w:r>
    </w:p>
    <w:p w14:paraId="76FB5F21" w14:textId="6976A116" w:rsidR="001C2AD9" w:rsidRPr="007847AA" w:rsidRDefault="001C2AD9" w:rsidP="00C41749">
      <w:r w:rsidRPr="007847AA">
        <w:t>If bid prices vary by property location, the address must be identified for each line item.</w:t>
      </w:r>
    </w:p>
    <w:p w14:paraId="0536AE0E" w14:textId="77777777" w:rsidR="00C41749" w:rsidRPr="007847AA" w:rsidRDefault="00C41749" w:rsidP="00C41749"/>
    <w:p w14:paraId="7CF15FF0" w14:textId="37424AA7" w:rsidR="00DB7AAB" w:rsidRPr="007847AA" w:rsidRDefault="00DB7AAB" w:rsidP="008D64E2">
      <w:pPr>
        <w:pStyle w:val="3BOLDArial11"/>
        <w:spacing w:line="240" w:lineRule="auto"/>
      </w:pPr>
      <w:r w:rsidRPr="007847AA">
        <w:t xml:space="preserve">Step </w:t>
      </w:r>
      <w:r w:rsidR="008764C0" w:rsidRPr="007847AA">
        <w:t>8</w:t>
      </w:r>
      <w:r w:rsidR="00E04486" w:rsidRPr="007847AA">
        <w:t>.</w:t>
      </w:r>
      <w:r w:rsidR="00A32B38" w:rsidRPr="007847AA">
        <w:t xml:space="preserve"> </w:t>
      </w:r>
      <w:r w:rsidRPr="007847AA">
        <w:t>Construction</w:t>
      </w:r>
    </w:p>
    <w:p w14:paraId="52FA8840" w14:textId="77777777" w:rsidR="009A4A6C" w:rsidRPr="007847AA" w:rsidRDefault="009A4A6C" w:rsidP="007847AA">
      <w:pPr>
        <w:pStyle w:val="2BULLETArial11"/>
        <w:numPr>
          <w:ilvl w:val="0"/>
          <w:numId w:val="0"/>
        </w:numPr>
        <w:spacing w:line="240" w:lineRule="auto"/>
        <w:jc w:val="both"/>
        <w:rPr>
          <w:b/>
          <w:bCs/>
        </w:rPr>
      </w:pPr>
      <w:r w:rsidRPr="007847AA">
        <w:rPr>
          <w:b/>
          <w:bCs/>
        </w:rPr>
        <w:t>Housing Unit Rehab only</w:t>
      </w:r>
      <w:r w:rsidR="00E04486" w:rsidRPr="007847AA">
        <w:rPr>
          <w:b/>
          <w:bCs/>
        </w:rPr>
        <w:t>.</w:t>
      </w:r>
    </w:p>
    <w:p w14:paraId="7049E812" w14:textId="77777777" w:rsidR="00DB7AAB" w:rsidRPr="007847AA" w:rsidRDefault="00DB7AAB" w:rsidP="00C41749">
      <w:pPr>
        <w:pStyle w:val="2BULLETArial11"/>
        <w:spacing w:line="240" w:lineRule="auto"/>
        <w:ind w:left="720"/>
        <w:jc w:val="both"/>
      </w:pPr>
      <w:r w:rsidRPr="007847AA">
        <w:t>A pre-construction conference is held with the Grant Recipient, homeowner, and contractor so that all parties understand the goals, thresholds, limitations, and regulations associated with the TxCDBG program.</w:t>
      </w:r>
    </w:p>
    <w:p w14:paraId="5E58FF29" w14:textId="77777777" w:rsidR="00591C6B" w:rsidRPr="007847AA" w:rsidRDefault="00DB7AAB" w:rsidP="00C41749">
      <w:pPr>
        <w:pStyle w:val="2BULLETArial11"/>
        <w:spacing w:line="240" w:lineRule="auto"/>
        <w:ind w:left="720"/>
        <w:jc w:val="both"/>
      </w:pPr>
      <w:r w:rsidRPr="007847AA">
        <w:t xml:space="preserve">The homeowner is responsible for </w:t>
      </w:r>
      <w:proofErr w:type="gramStart"/>
      <w:r w:rsidRPr="007847AA">
        <w:t>review of</w:t>
      </w:r>
      <w:proofErr w:type="gramEnd"/>
      <w:r w:rsidRPr="007847AA">
        <w:t xml:space="preserve"> the day-to-day work of the construction contractor.</w:t>
      </w:r>
      <w:r w:rsidR="00B20FE8" w:rsidRPr="007847AA">
        <w:t xml:space="preserve"> </w:t>
      </w:r>
      <w:r w:rsidR="00591C6B" w:rsidRPr="007847AA">
        <w:t xml:space="preserve"> Excellent communication is necessary to ensure that the homeowner understands the work that is, and is not, included in the rehabilitation.</w:t>
      </w:r>
    </w:p>
    <w:p w14:paraId="1741B538" w14:textId="77777777" w:rsidR="00DB7AAB" w:rsidRPr="007847AA" w:rsidRDefault="00DB7AAB" w:rsidP="00C41749">
      <w:pPr>
        <w:pStyle w:val="2BULLETArial11"/>
        <w:spacing w:line="240" w:lineRule="auto"/>
        <w:ind w:left="720"/>
        <w:jc w:val="both"/>
      </w:pPr>
      <w:r w:rsidRPr="007847AA">
        <w:t xml:space="preserve">The Grant Recipient also makes periodic inspections of the work in progress.  </w:t>
      </w:r>
    </w:p>
    <w:p w14:paraId="4ED1D958" w14:textId="77777777" w:rsidR="00643005" w:rsidRPr="007847AA" w:rsidRDefault="001719CD" w:rsidP="00C41749">
      <w:pPr>
        <w:pStyle w:val="2BULLETArial11"/>
        <w:spacing w:line="240" w:lineRule="auto"/>
        <w:ind w:left="720"/>
        <w:jc w:val="both"/>
      </w:pPr>
      <w:r w:rsidRPr="007847AA">
        <w:t>If the Grant Recipient prepares adequate work write-ups during the application phase of the program, few changes to the construction contract are anticipated. If the need for a change order arises due to conditions not previously observed, the Grant Recipient should complete the</w:t>
      </w:r>
      <w:r w:rsidR="00643005" w:rsidRPr="007847AA">
        <w:t xml:space="preserve"> change process for</w:t>
      </w:r>
      <w:r w:rsidRPr="007847AA">
        <w:t xml:space="preserve"> the </w:t>
      </w:r>
      <w:r w:rsidR="00643005" w:rsidRPr="007847AA">
        <w:t xml:space="preserve">relevant </w:t>
      </w:r>
      <w:r w:rsidRPr="007847AA">
        <w:t xml:space="preserve">Financial Interest Report as described in </w:t>
      </w:r>
      <w:r w:rsidRPr="007847AA">
        <w:rPr>
          <w:i/>
          <w:iCs w:val="0"/>
        </w:rPr>
        <w:t>Chapter 5</w:t>
      </w:r>
      <w:r w:rsidR="00643005" w:rsidRPr="007847AA">
        <w:rPr>
          <w:i/>
          <w:iCs w:val="0"/>
        </w:rPr>
        <w:t>,</w:t>
      </w:r>
      <w:r w:rsidR="00643005" w:rsidRPr="007847AA">
        <w:t xml:space="preserve"> attaching the </w:t>
      </w:r>
      <w:r w:rsidR="00643005" w:rsidRPr="007847AA">
        <w:rPr>
          <w:i/>
        </w:rPr>
        <w:t xml:space="preserve">Housing Rehabilitation Change Order Request Approval </w:t>
      </w:r>
      <w:r w:rsidR="008368DD" w:rsidRPr="007847AA">
        <w:rPr>
          <w:b/>
          <w:bCs/>
          <w:iCs w:val="0"/>
        </w:rPr>
        <w:t>(</w:t>
      </w:r>
      <w:r w:rsidR="00643005" w:rsidRPr="007847AA">
        <w:rPr>
          <w:b/>
          <w:bCs/>
          <w:iCs w:val="0"/>
        </w:rPr>
        <w:t>Form</w:t>
      </w:r>
      <w:r w:rsidR="00643005" w:rsidRPr="007847AA">
        <w:rPr>
          <w:b/>
          <w:bCs/>
        </w:rPr>
        <w:t xml:space="preserve"> C4)</w:t>
      </w:r>
      <w:r w:rsidRPr="007847AA">
        <w:rPr>
          <w:b/>
          <w:bCs/>
        </w:rPr>
        <w:t xml:space="preserve">.  </w:t>
      </w:r>
    </w:p>
    <w:p w14:paraId="638BE10E" w14:textId="77777777" w:rsidR="001719CD" w:rsidRPr="007847AA" w:rsidRDefault="001719CD" w:rsidP="00C41749">
      <w:pPr>
        <w:pStyle w:val="2BULLETArial11"/>
        <w:spacing w:line="240" w:lineRule="auto"/>
        <w:ind w:left="720"/>
        <w:jc w:val="both"/>
      </w:pPr>
      <w:r w:rsidRPr="007847AA">
        <w:t>If the</w:t>
      </w:r>
      <w:r w:rsidR="00643005" w:rsidRPr="007847AA">
        <w:t xml:space="preserve"> original</w:t>
      </w:r>
      <w:r w:rsidRPr="007847AA">
        <w:t xml:space="preserve"> work writeup indicated no work was necessary for a certain housing system, change orders to add work for that system will generally not be approved unless the inspector documents why these conditions could not be observed at the time the work writeup was completed.</w:t>
      </w:r>
    </w:p>
    <w:p w14:paraId="0845B8FF" w14:textId="77777777" w:rsidR="00DB7AAB" w:rsidRPr="007847AA" w:rsidRDefault="00DB7AAB" w:rsidP="00C41749">
      <w:pPr>
        <w:pStyle w:val="2BULLETArial11"/>
        <w:spacing w:line="240" w:lineRule="auto"/>
        <w:ind w:left="720"/>
        <w:jc w:val="both"/>
      </w:pPr>
      <w:r w:rsidRPr="007847AA">
        <w:t>A final inspection is conducted by the rehabilitation inspector with the homeowner and contractor in attendance. A final punch list is made, if necessary.</w:t>
      </w:r>
    </w:p>
    <w:p w14:paraId="75D6B91E" w14:textId="1FF9261B" w:rsidR="009A4A6C" w:rsidRPr="007847AA" w:rsidRDefault="00506D8B" w:rsidP="00C41749">
      <w:pPr>
        <w:pStyle w:val="2BULLETArial11"/>
        <w:spacing w:line="240" w:lineRule="auto"/>
        <w:ind w:left="720"/>
        <w:jc w:val="both"/>
      </w:pPr>
      <w:r w:rsidRPr="007847AA">
        <w:rPr>
          <w:b/>
          <w:bCs/>
        </w:rPr>
        <w:t xml:space="preserve">OSSF and Scattered </w:t>
      </w:r>
      <w:r w:rsidR="00B44D22" w:rsidRPr="007847AA">
        <w:rPr>
          <w:b/>
          <w:bCs/>
        </w:rPr>
        <w:t>Yard line</w:t>
      </w:r>
      <w:r w:rsidR="00AC2C3E" w:rsidRPr="007847AA">
        <w:rPr>
          <w:b/>
          <w:bCs/>
        </w:rPr>
        <w:t xml:space="preserve"> </w:t>
      </w:r>
      <w:r w:rsidRPr="007847AA">
        <w:rPr>
          <w:b/>
          <w:bCs/>
        </w:rPr>
        <w:t>Assistance</w:t>
      </w:r>
      <w:r w:rsidR="00E0214D" w:rsidRPr="007847AA">
        <w:t xml:space="preserve"> – C</w:t>
      </w:r>
      <w:r w:rsidRPr="007847AA">
        <w:t xml:space="preserve">onstruction should be carried out according to standard procedures, as described in </w:t>
      </w:r>
      <w:r w:rsidRPr="007847AA">
        <w:rPr>
          <w:i/>
          <w:iCs w:val="0"/>
        </w:rPr>
        <w:t>Chapter 5</w:t>
      </w:r>
      <w:r w:rsidR="0005222F" w:rsidRPr="007847AA">
        <w:rPr>
          <w:i/>
          <w:iCs w:val="0"/>
        </w:rPr>
        <w:t xml:space="preserve"> Procurement Procedures</w:t>
      </w:r>
      <w:r w:rsidRPr="007847AA">
        <w:rPr>
          <w:i/>
          <w:iCs w:val="0"/>
        </w:rPr>
        <w:t>.</w:t>
      </w:r>
      <w:r w:rsidRPr="007847AA">
        <w:t xml:space="preserve"> </w:t>
      </w:r>
    </w:p>
    <w:p w14:paraId="4988B3BA" w14:textId="6DB969E4" w:rsidR="005E0E54" w:rsidRPr="007847AA" w:rsidRDefault="002610C9" w:rsidP="00C41749">
      <w:pPr>
        <w:pStyle w:val="2BULLETArial11"/>
        <w:spacing w:line="240" w:lineRule="auto"/>
        <w:ind w:left="720"/>
        <w:jc w:val="both"/>
      </w:pPr>
      <w:r w:rsidRPr="007847AA">
        <w:t xml:space="preserve">Payment for construction and other services may be requested </w:t>
      </w:r>
      <w:r w:rsidR="006B0747" w:rsidRPr="007847AA">
        <w:t xml:space="preserve">through the TDA-GO Payment Request </w:t>
      </w:r>
      <w:r w:rsidRPr="007847AA">
        <w:t xml:space="preserve">according to the policies described in </w:t>
      </w:r>
      <w:r w:rsidRPr="007847AA">
        <w:rPr>
          <w:i/>
          <w:iCs w:val="0"/>
        </w:rPr>
        <w:t>Chapter</w:t>
      </w:r>
      <w:r w:rsidR="0005222F" w:rsidRPr="007847AA">
        <w:rPr>
          <w:i/>
          <w:iCs w:val="0"/>
        </w:rPr>
        <w:t xml:space="preserve"> </w:t>
      </w:r>
      <w:r w:rsidRPr="007847AA">
        <w:rPr>
          <w:i/>
          <w:iCs w:val="0"/>
        </w:rPr>
        <w:t>2</w:t>
      </w:r>
      <w:r w:rsidRPr="007847AA">
        <w:t xml:space="preserve"> </w:t>
      </w:r>
      <w:r w:rsidRPr="007847AA">
        <w:rPr>
          <w:i/>
          <w:iCs w:val="0"/>
        </w:rPr>
        <w:t>Financial Management.</w:t>
      </w:r>
      <w:r w:rsidRPr="007847AA">
        <w:t xml:space="preserve">  </w:t>
      </w:r>
    </w:p>
    <w:p w14:paraId="1C63BBEB" w14:textId="77777777" w:rsidR="002610C9" w:rsidRPr="007847AA" w:rsidRDefault="009A4A6C" w:rsidP="00C41749">
      <w:pPr>
        <w:pStyle w:val="2BULLETArial11"/>
        <w:spacing w:line="240" w:lineRule="auto"/>
        <w:ind w:left="720"/>
        <w:jc w:val="both"/>
      </w:pPr>
      <w:r w:rsidRPr="007847AA">
        <w:rPr>
          <w:b/>
          <w:bCs/>
        </w:rPr>
        <w:t xml:space="preserve">Housing Unit Rehab </w:t>
      </w:r>
      <w:r w:rsidR="00E0214D" w:rsidRPr="007847AA">
        <w:rPr>
          <w:b/>
          <w:bCs/>
        </w:rPr>
        <w:t>O</w:t>
      </w:r>
      <w:r w:rsidRPr="007847AA">
        <w:rPr>
          <w:b/>
          <w:bCs/>
        </w:rPr>
        <w:t>nly</w:t>
      </w:r>
      <w:r w:rsidR="00E0214D" w:rsidRPr="007847AA">
        <w:t xml:space="preserve"> – </w:t>
      </w:r>
      <w:r w:rsidR="002610C9" w:rsidRPr="007847AA">
        <w:t>In addition to the required invoices, the following documents signed by the homeowner</w:t>
      </w:r>
      <w:r w:rsidR="006B0747" w:rsidRPr="007847AA">
        <w:t xml:space="preserve"> must be attached to the </w:t>
      </w:r>
      <w:r w:rsidR="00E0214D" w:rsidRPr="007847AA">
        <w:t>p</w:t>
      </w:r>
      <w:r w:rsidR="006B0747" w:rsidRPr="007847AA">
        <w:t xml:space="preserve">ayment </w:t>
      </w:r>
      <w:r w:rsidR="00E0214D" w:rsidRPr="007847AA">
        <w:t>r</w:t>
      </w:r>
      <w:r w:rsidR="006B0747" w:rsidRPr="007847AA">
        <w:t>equest</w:t>
      </w:r>
      <w:r w:rsidR="002610C9" w:rsidRPr="007847AA">
        <w:t>:</w:t>
      </w:r>
    </w:p>
    <w:p w14:paraId="392CD594" w14:textId="77777777" w:rsidR="002610C9" w:rsidRPr="007847AA" w:rsidRDefault="002610C9" w:rsidP="008D64E2">
      <w:pPr>
        <w:pStyle w:val="2BULLETArial11"/>
        <w:numPr>
          <w:ilvl w:val="0"/>
          <w:numId w:val="19"/>
        </w:numPr>
        <w:spacing w:line="240" w:lineRule="auto"/>
        <w:ind w:left="1080"/>
      </w:pPr>
      <w:r w:rsidRPr="007847AA">
        <w:rPr>
          <w:i/>
        </w:rPr>
        <w:t>Housing Rehabilitation Case File Checklist</w:t>
      </w:r>
      <w:r w:rsidRPr="007847AA">
        <w:t xml:space="preserve"> </w:t>
      </w:r>
      <w:r w:rsidRPr="007847AA">
        <w:rPr>
          <w:b/>
          <w:bCs/>
        </w:rPr>
        <w:t>(Form C6</w:t>
      </w:r>
      <w:r w:rsidRPr="007847AA">
        <w:t>)</w:t>
      </w:r>
      <w:r w:rsidR="006B0747" w:rsidRPr="007847AA">
        <w:t xml:space="preserve"> demonstrating documentation collected to date.</w:t>
      </w:r>
    </w:p>
    <w:p w14:paraId="080A52E1" w14:textId="77777777" w:rsidR="002610C9" w:rsidRPr="007847AA" w:rsidRDefault="002610C9" w:rsidP="008D64E2">
      <w:pPr>
        <w:pStyle w:val="2BULLETArial11"/>
        <w:numPr>
          <w:ilvl w:val="0"/>
          <w:numId w:val="19"/>
        </w:numPr>
        <w:spacing w:line="240" w:lineRule="auto"/>
        <w:ind w:left="1080"/>
      </w:pPr>
      <w:r w:rsidRPr="007847AA">
        <w:t xml:space="preserve">Housing Rehabilitation – </w:t>
      </w:r>
      <w:r w:rsidRPr="007847AA">
        <w:rPr>
          <w:i/>
          <w:iCs w:val="0"/>
        </w:rPr>
        <w:t>Homeowner’s Payment Request</w:t>
      </w:r>
      <w:r w:rsidRPr="007847AA">
        <w:t xml:space="preserve"> </w:t>
      </w:r>
      <w:r w:rsidRPr="007847AA">
        <w:rPr>
          <w:b/>
          <w:bCs/>
        </w:rPr>
        <w:t>(Form C5</w:t>
      </w:r>
      <w:r w:rsidRPr="007847AA">
        <w:t>).</w:t>
      </w:r>
    </w:p>
    <w:p w14:paraId="0F1A397D" w14:textId="77777777" w:rsidR="009A167A" w:rsidRPr="007847AA" w:rsidRDefault="009A167A" w:rsidP="008D64E2">
      <w:pPr>
        <w:pStyle w:val="2BULLETArial11"/>
        <w:numPr>
          <w:ilvl w:val="0"/>
          <w:numId w:val="19"/>
        </w:numPr>
        <w:spacing w:line="240" w:lineRule="auto"/>
        <w:ind w:left="1080"/>
      </w:pPr>
      <w:r w:rsidRPr="007847AA">
        <w:t>Photos documenting the work completed</w:t>
      </w:r>
      <w:r w:rsidR="00E0214D" w:rsidRPr="007847AA">
        <w:t xml:space="preserve">, along </w:t>
      </w:r>
      <w:r w:rsidRPr="007847AA">
        <w:t xml:space="preserve">with the final construction </w:t>
      </w:r>
      <w:r w:rsidR="00E0214D" w:rsidRPr="007847AA">
        <w:t>p</w:t>
      </w:r>
      <w:r w:rsidRPr="007847AA">
        <w:t xml:space="preserve">ayment </w:t>
      </w:r>
      <w:r w:rsidR="00E0214D" w:rsidRPr="007847AA">
        <w:t>r</w:t>
      </w:r>
      <w:r w:rsidRPr="007847AA">
        <w:t>equest for each housing unit.</w:t>
      </w:r>
    </w:p>
    <w:p w14:paraId="7C1C2947" w14:textId="77777777" w:rsidR="002610C9" w:rsidRPr="007847AA" w:rsidRDefault="002610C9" w:rsidP="008D64E2">
      <w:pPr>
        <w:autoSpaceDE w:val="0"/>
        <w:autoSpaceDN w:val="0"/>
        <w:adjustRightInd w:val="0"/>
        <w:ind w:left="720"/>
        <w:jc w:val="both"/>
        <w:rPr>
          <w:rFonts w:cs="Arial"/>
          <w:szCs w:val="22"/>
        </w:rPr>
      </w:pPr>
    </w:p>
    <w:p w14:paraId="5F6883D3" w14:textId="77777777" w:rsidR="00DB7AAB" w:rsidRPr="007847AA" w:rsidRDefault="00DB7AAB" w:rsidP="008D64E2">
      <w:pPr>
        <w:pStyle w:val="3BOLDArial11"/>
        <w:spacing w:line="240" w:lineRule="auto"/>
      </w:pPr>
      <w:r w:rsidRPr="007847AA">
        <w:t xml:space="preserve">Step </w:t>
      </w:r>
      <w:r w:rsidR="006B0747" w:rsidRPr="007847AA">
        <w:t>9</w:t>
      </w:r>
      <w:r w:rsidR="00EA57A0" w:rsidRPr="007847AA">
        <w:t>.</w:t>
      </w:r>
      <w:r w:rsidR="00A32B38" w:rsidRPr="007847AA">
        <w:t xml:space="preserve"> </w:t>
      </w:r>
      <w:r w:rsidRPr="007847AA">
        <w:t>Completion</w:t>
      </w:r>
    </w:p>
    <w:p w14:paraId="47961962" w14:textId="5482F82D" w:rsidR="002610C9" w:rsidRPr="007847AA" w:rsidRDefault="00591C6B" w:rsidP="0098672A">
      <w:pPr>
        <w:pStyle w:val="2BULLETArial11"/>
        <w:spacing w:line="240" w:lineRule="auto"/>
        <w:ind w:left="720"/>
        <w:jc w:val="both"/>
      </w:pPr>
      <w:bookmarkStart w:id="62" w:name="_Hlk66055933"/>
      <w:bookmarkStart w:id="63" w:name="_Hlk66054867"/>
      <w:r w:rsidRPr="007847AA">
        <w:t xml:space="preserve">The Grant Recipient will finalize the </w:t>
      </w:r>
      <w:r w:rsidR="00AB6D37" w:rsidRPr="007847AA">
        <w:t>Materials and Services Report</w:t>
      </w:r>
      <w:r w:rsidR="00AB6D37" w:rsidRPr="007847AA" w:rsidDel="00AB6D37">
        <w:t xml:space="preserve"> </w:t>
      </w:r>
      <w:r w:rsidRPr="007847AA">
        <w:t>in the TDA-GO system</w:t>
      </w:r>
      <w:r w:rsidR="00344DA4" w:rsidRPr="007847AA">
        <w:t>,</w:t>
      </w:r>
      <w:r w:rsidRPr="007847AA">
        <w:t xml:space="preserve"> </w:t>
      </w:r>
      <w:r w:rsidR="00344DA4" w:rsidRPr="007847AA">
        <w:t>including the</w:t>
      </w:r>
      <w:r w:rsidRPr="007847AA">
        <w:t xml:space="preserve"> Certificate of Construction Completion</w:t>
      </w:r>
      <w:bookmarkEnd w:id="62"/>
      <w:r w:rsidRPr="007847AA">
        <w:t xml:space="preserve">.  </w:t>
      </w:r>
    </w:p>
    <w:p w14:paraId="6458955F" w14:textId="6E7B44F0" w:rsidR="00DB7AAB" w:rsidRPr="007847AA" w:rsidRDefault="00591C6B" w:rsidP="0098672A">
      <w:pPr>
        <w:pStyle w:val="2BULLETArial11"/>
        <w:spacing w:line="240" w:lineRule="auto"/>
        <w:ind w:left="720"/>
        <w:jc w:val="both"/>
      </w:pPr>
      <w:bookmarkStart w:id="64" w:name="_Hlk66055058"/>
      <w:bookmarkEnd w:id="63"/>
      <w:r w:rsidRPr="007847AA">
        <w:t xml:space="preserve">The </w:t>
      </w:r>
      <w:r w:rsidR="00EA57A0" w:rsidRPr="007847AA">
        <w:t>f</w:t>
      </w:r>
      <w:r w:rsidRPr="007847AA">
        <w:t xml:space="preserve">inal </w:t>
      </w:r>
      <w:r w:rsidR="00EA57A0" w:rsidRPr="007847AA">
        <w:t>w</w:t>
      </w:r>
      <w:r w:rsidRPr="007847AA">
        <w:t xml:space="preserve">age </w:t>
      </w:r>
      <w:r w:rsidR="00EA57A0" w:rsidRPr="007847AA">
        <w:t>c</w:t>
      </w:r>
      <w:r w:rsidRPr="007847AA">
        <w:t xml:space="preserve">ompliance </w:t>
      </w:r>
      <w:r w:rsidR="005E0E54" w:rsidRPr="007847AA">
        <w:t xml:space="preserve">portion of the </w:t>
      </w:r>
      <w:r w:rsidR="00AB6D37" w:rsidRPr="007847AA">
        <w:t xml:space="preserve">MSR </w:t>
      </w:r>
      <w:r w:rsidR="005E0E54" w:rsidRPr="007847AA">
        <w:t xml:space="preserve">is not required </w:t>
      </w:r>
      <w:r w:rsidR="00DB7AAB" w:rsidRPr="007847AA">
        <w:t xml:space="preserve">unless TDA has previously determined that Davis-Bacon </w:t>
      </w:r>
      <w:r w:rsidR="00AC2C3E" w:rsidRPr="007847AA">
        <w:t xml:space="preserve">and Related </w:t>
      </w:r>
      <w:r w:rsidR="00BB63EB" w:rsidRPr="007847AA">
        <w:t>Act</w:t>
      </w:r>
      <w:r w:rsidR="00AC2C3E" w:rsidRPr="007847AA">
        <w:t>s</w:t>
      </w:r>
      <w:r w:rsidR="00BB63EB" w:rsidRPr="007847AA">
        <w:t xml:space="preserve"> </w:t>
      </w:r>
      <w:r w:rsidR="00EA57A0" w:rsidRPr="007847AA">
        <w:t>l</w:t>
      </w:r>
      <w:r w:rsidR="00DB7AAB" w:rsidRPr="007847AA">
        <w:t xml:space="preserve">abor </w:t>
      </w:r>
      <w:r w:rsidR="00EA57A0" w:rsidRPr="007847AA">
        <w:t>s</w:t>
      </w:r>
      <w:r w:rsidR="00DB7AAB" w:rsidRPr="007847AA">
        <w:t>tandards apply.</w:t>
      </w:r>
    </w:p>
    <w:bookmarkEnd w:id="64"/>
    <w:p w14:paraId="3567565F" w14:textId="77777777" w:rsidR="001C12FF" w:rsidRPr="007847AA" w:rsidRDefault="001C12FF" w:rsidP="0098672A">
      <w:pPr>
        <w:pStyle w:val="2BULLETArial11"/>
        <w:spacing w:line="240" w:lineRule="auto"/>
        <w:ind w:left="720"/>
        <w:jc w:val="both"/>
      </w:pPr>
      <w:r w:rsidRPr="007847AA">
        <w:t>Housing Unit Rehab only</w:t>
      </w:r>
      <w:r w:rsidR="00EA57A0" w:rsidRPr="007847AA">
        <w:t>:</w:t>
      </w:r>
    </w:p>
    <w:p w14:paraId="586953D3" w14:textId="77777777" w:rsidR="00016E18" w:rsidRPr="007847AA" w:rsidRDefault="00016E18" w:rsidP="0098672A">
      <w:pPr>
        <w:pStyle w:val="2BULLETArial11"/>
        <w:numPr>
          <w:ilvl w:val="0"/>
          <w:numId w:val="20"/>
        </w:numPr>
        <w:spacing w:line="240" w:lineRule="auto"/>
        <w:ind w:left="1080"/>
        <w:jc w:val="both"/>
      </w:pPr>
      <w:r w:rsidRPr="007847AA">
        <w:t>If no architect was used for the rehabilitation, leave blank the space indicated for the project engineer on the COCC.</w:t>
      </w:r>
    </w:p>
    <w:p w14:paraId="5BC1B345" w14:textId="2DD60F05" w:rsidR="001C12FF" w:rsidRPr="007847AA" w:rsidRDefault="00016E18" w:rsidP="0098672A">
      <w:pPr>
        <w:pStyle w:val="2BULLETArial11"/>
        <w:numPr>
          <w:ilvl w:val="0"/>
          <w:numId w:val="20"/>
        </w:numPr>
        <w:spacing w:line="240" w:lineRule="auto"/>
        <w:ind w:left="1080"/>
        <w:jc w:val="both"/>
      </w:pPr>
      <w:r w:rsidRPr="007847AA">
        <w:t xml:space="preserve">The </w:t>
      </w:r>
      <w:r w:rsidR="00EA57A0" w:rsidRPr="007847AA">
        <w:t>h</w:t>
      </w:r>
      <w:r w:rsidRPr="007847AA">
        <w:t>omeowner</w:t>
      </w:r>
      <w:r w:rsidR="00506BA4" w:rsidRPr="007847AA">
        <w:t>’</w:t>
      </w:r>
      <w:r w:rsidRPr="007847AA">
        <w:t>s approval of the final construction Payment Request will serve as his/her acceptance of completion</w:t>
      </w:r>
      <w:r w:rsidR="001C12FF" w:rsidRPr="007847AA">
        <w:t xml:space="preserve">.  </w:t>
      </w:r>
    </w:p>
    <w:p w14:paraId="3107544E" w14:textId="77777777" w:rsidR="001C12FF" w:rsidRPr="007847AA" w:rsidRDefault="001C12FF" w:rsidP="0098672A">
      <w:pPr>
        <w:pStyle w:val="2BULLETArial11"/>
        <w:spacing w:line="240" w:lineRule="auto"/>
        <w:ind w:left="720"/>
        <w:jc w:val="both"/>
      </w:pPr>
      <w:r w:rsidRPr="007847AA">
        <w:t>OSSF Assistance only:</w:t>
      </w:r>
    </w:p>
    <w:p w14:paraId="0139FFF1" w14:textId="77777777" w:rsidR="001C12FF" w:rsidRPr="007847AA" w:rsidRDefault="001C12FF" w:rsidP="0098672A">
      <w:pPr>
        <w:pStyle w:val="2BULLETArial11"/>
        <w:numPr>
          <w:ilvl w:val="0"/>
          <w:numId w:val="21"/>
        </w:numPr>
        <w:spacing w:line="240" w:lineRule="auto"/>
        <w:ind w:left="1080"/>
        <w:jc w:val="both"/>
      </w:pPr>
      <w:r w:rsidRPr="007847AA">
        <w:t>If no architect was used for the rehabilitation, leave blank the space indicated for the project engineer on the COCC.</w:t>
      </w:r>
    </w:p>
    <w:p w14:paraId="291C7E98" w14:textId="5DA73497" w:rsidR="001C12FF" w:rsidRPr="007847AA" w:rsidRDefault="001C12FF" w:rsidP="0098672A">
      <w:pPr>
        <w:pStyle w:val="2BULLETArial11"/>
        <w:numPr>
          <w:ilvl w:val="0"/>
          <w:numId w:val="21"/>
        </w:numPr>
        <w:spacing w:line="240" w:lineRule="auto"/>
        <w:ind w:left="1080"/>
        <w:jc w:val="both"/>
      </w:pPr>
      <w:r w:rsidRPr="007847AA">
        <w:t xml:space="preserve">In addition, upload </w:t>
      </w:r>
      <w:r w:rsidR="0005222F" w:rsidRPr="007847AA">
        <w:rPr>
          <w:i/>
          <w:iCs w:val="0"/>
        </w:rPr>
        <w:t>Certificate of Construction Completion for OSSF Projects</w:t>
      </w:r>
      <w:r w:rsidR="0005222F" w:rsidRPr="007847AA">
        <w:t xml:space="preserve"> </w:t>
      </w:r>
      <w:r w:rsidRPr="007847AA">
        <w:t>(</w:t>
      </w:r>
      <w:r w:rsidRPr="007847AA">
        <w:rPr>
          <w:b/>
          <w:bCs/>
        </w:rPr>
        <w:t>Form CII709</w:t>
      </w:r>
      <w:r w:rsidRPr="007847AA">
        <w:t xml:space="preserve">).  </w:t>
      </w:r>
    </w:p>
    <w:p w14:paraId="45314FFB" w14:textId="77777777" w:rsidR="00DB7AAB" w:rsidRPr="007847AA" w:rsidRDefault="00DB7AAB" w:rsidP="0098672A">
      <w:pPr>
        <w:pStyle w:val="2BULLETArial11"/>
        <w:spacing w:line="240" w:lineRule="auto"/>
        <w:ind w:left="720"/>
        <w:jc w:val="both"/>
      </w:pPr>
      <w:r w:rsidRPr="007847AA">
        <w:t xml:space="preserve">The program continues until all houses </w:t>
      </w:r>
      <w:r w:rsidR="006A184C" w:rsidRPr="007847AA">
        <w:t xml:space="preserve">which qualified for assistance </w:t>
      </w:r>
      <w:r w:rsidRPr="007847AA">
        <w:t xml:space="preserve">are completed in the </w:t>
      </w:r>
      <w:r w:rsidR="008D038D" w:rsidRPr="007847AA">
        <w:t>project</w:t>
      </w:r>
      <w:r w:rsidRPr="007847AA">
        <w:t>.</w:t>
      </w:r>
    </w:p>
    <w:p w14:paraId="0FD62F75" w14:textId="77777777" w:rsidR="00DB7AAB" w:rsidRPr="007847AA" w:rsidRDefault="00DB7AAB" w:rsidP="008D64E2">
      <w:pPr>
        <w:autoSpaceDE w:val="0"/>
        <w:autoSpaceDN w:val="0"/>
        <w:adjustRightInd w:val="0"/>
        <w:jc w:val="both"/>
        <w:rPr>
          <w:rFonts w:cs="Arial"/>
          <w:szCs w:val="22"/>
        </w:rPr>
      </w:pPr>
    </w:p>
    <w:p w14:paraId="26E76071" w14:textId="77777777" w:rsidR="00591C6B" w:rsidRPr="007847AA" w:rsidRDefault="00591C6B" w:rsidP="008D64E2">
      <w:pPr>
        <w:pStyle w:val="3BOLDArial11"/>
        <w:spacing w:line="240" w:lineRule="auto"/>
      </w:pPr>
      <w:r w:rsidRPr="007847AA">
        <w:t xml:space="preserve">Step </w:t>
      </w:r>
      <w:r w:rsidR="002610C9" w:rsidRPr="007847AA">
        <w:t>1</w:t>
      </w:r>
      <w:r w:rsidR="006B0747" w:rsidRPr="007847AA">
        <w:t>0</w:t>
      </w:r>
      <w:r w:rsidR="00955295" w:rsidRPr="007847AA">
        <w:t>.</w:t>
      </w:r>
      <w:r w:rsidRPr="007847AA">
        <w:t xml:space="preserve"> Loan Forgiveness</w:t>
      </w:r>
      <w:r w:rsidR="00342D7B" w:rsidRPr="007847AA">
        <w:t xml:space="preserve"> (Housing Unit Rehab </w:t>
      </w:r>
      <w:r w:rsidR="00955295" w:rsidRPr="007847AA">
        <w:t>O</w:t>
      </w:r>
      <w:r w:rsidR="00342D7B" w:rsidRPr="007847AA">
        <w:t>nly)</w:t>
      </w:r>
    </w:p>
    <w:p w14:paraId="156B86BA" w14:textId="72996D61" w:rsidR="00591C6B" w:rsidRPr="007847AA" w:rsidRDefault="00591C6B" w:rsidP="0098672A">
      <w:pPr>
        <w:pStyle w:val="2BULLETArial11"/>
        <w:spacing w:line="240" w:lineRule="auto"/>
        <w:jc w:val="both"/>
      </w:pPr>
      <w:r w:rsidRPr="007847AA">
        <w:t xml:space="preserve">The lien filed by the Grant Recipient and </w:t>
      </w:r>
      <w:proofErr w:type="gramStart"/>
      <w:r w:rsidRPr="007847AA">
        <w:t>imposed</w:t>
      </w:r>
      <w:proofErr w:type="gramEnd"/>
      <w:r w:rsidRPr="007847AA">
        <w:t xml:space="preserve"> the house is released once the loan is forgiven or repaid—typically in five years</w:t>
      </w:r>
      <w:r w:rsidR="0005222F" w:rsidRPr="007847AA">
        <w:t>, s</w:t>
      </w:r>
      <w:r w:rsidRPr="007847AA">
        <w:t xml:space="preserve">ee </w:t>
      </w:r>
      <w:r w:rsidRPr="007847AA">
        <w:rPr>
          <w:i/>
        </w:rPr>
        <w:t>Sample Release of Lien</w:t>
      </w:r>
      <w:r w:rsidRPr="007847AA">
        <w:t xml:space="preserve"> </w:t>
      </w:r>
      <w:r w:rsidRPr="007847AA">
        <w:rPr>
          <w:b/>
          <w:bCs/>
        </w:rPr>
        <w:t>(Form C9).</w:t>
      </w:r>
      <w:r w:rsidRPr="007847AA">
        <w:t xml:space="preserve"> The release of </w:t>
      </w:r>
      <w:proofErr w:type="gramStart"/>
      <w:r w:rsidRPr="007847AA">
        <w:t>lien</w:t>
      </w:r>
      <w:proofErr w:type="gramEnd"/>
      <w:r w:rsidRPr="007847AA">
        <w:t xml:space="preserve"> must be recorded with the applicable county, a copy of the recorded document must be submitted to TDA.</w:t>
      </w:r>
    </w:p>
    <w:p w14:paraId="25943CDF" w14:textId="58810DAC" w:rsidR="00591C6B" w:rsidRPr="007847AA" w:rsidRDefault="00591C6B" w:rsidP="0098672A">
      <w:pPr>
        <w:pStyle w:val="3BOLDArial11"/>
        <w:spacing w:line="240" w:lineRule="auto"/>
        <w:jc w:val="both"/>
      </w:pPr>
    </w:p>
    <w:sectPr w:rsidR="00591C6B" w:rsidRPr="007847AA" w:rsidSect="00F449F4">
      <w:headerReference w:type="default" r:id="rId18"/>
      <w:footerReference w:type="default" r:id="rId19"/>
      <w:pgSz w:w="12240" w:h="15840" w:code="1"/>
      <w:pgMar w:top="1152" w:right="1152" w:bottom="1152" w:left="1152" w:header="720" w:footer="691"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Chad Hinds" w:date="2024-05-08T12:08:00Z" w:initials="CH">
    <w:p w14:paraId="418FD411" w14:textId="77777777" w:rsidR="00506BA4" w:rsidRDefault="00506BA4" w:rsidP="00506BA4">
      <w:pPr>
        <w:pStyle w:val="CommentText"/>
      </w:pPr>
      <w:r>
        <w:rPr>
          <w:rStyle w:val="CommentReference"/>
        </w:rPr>
        <w:annotationRef/>
      </w:r>
      <w:r>
        <w:t>We need to be consistent here and in Chp. 4. One word or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8FD41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935336" w16cex:dateUtc="2024-05-08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8FD411" w16cid:durableId="249353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F1CD4" w14:textId="77777777" w:rsidR="00295788" w:rsidRPr="00EC1756" w:rsidRDefault="00295788">
      <w:pPr>
        <w:rPr>
          <w:sz w:val="18"/>
          <w:szCs w:val="18"/>
        </w:rPr>
      </w:pPr>
      <w:r w:rsidRPr="00EC1756">
        <w:rPr>
          <w:sz w:val="18"/>
          <w:szCs w:val="18"/>
        </w:rPr>
        <w:separator/>
      </w:r>
    </w:p>
  </w:endnote>
  <w:endnote w:type="continuationSeparator" w:id="0">
    <w:p w14:paraId="3E068C12" w14:textId="77777777" w:rsidR="00295788" w:rsidRPr="00EC1756" w:rsidRDefault="00295788">
      <w:pPr>
        <w:rPr>
          <w:sz w:val="18"/>
          <w:szCs w:val="18"/>
        </w:rPr>
      </w:pPr>
      <w:r w:rsidRPr="00EC175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s Roman 11pt">
    <w:altName w:val="Calibri"/>
    <w:panose1 w:val="00000000000000000000"/>
    <w:charset w:val="00"/>
    <w:family w:val="swiss"/>
    <w:notTrueType/>
    <w:pitch w:val="default"/>
    <w:sig w:usb0="00000003" w:usb1="00000000" w:usb2="00000000" w:usb3="00000000" w:csb0="00000001"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ED4F1" w14:textId="77777777" w:rsidR="003C4EDC" w:rsidRDefault="003C4EDC" w:rsidP="00A7184C">
    <w:pPr>
      <w:pStyle w:val="Footer"/>
      <w:pBdr>
        <w:top w:val="dotted" w:sz="4" w:space="1" w:color="auto"/>
      </w:pBdr>
      <w:tabs>
        <w:tab w:val="clear" w:pos="8640"/>
        <w:tab w:val="left" w:pos="4680"/>
        <w:tab w:val="right" w:pos="9540"/>
      </w:tabs>
      <w:rPr>
        <w:rFonts w:cs="Arial"/>
        <w:sz w:val="16"/>
        <w:szCs w:val="16"/>
        <w:lang w:val="en-US" w:eastAsia="en-US"/>
      </w:rPr>
    </w:pPr>
  </w:p>
  <w:p w14:paraId="510BF22C" w14:textId="2CA06539" w:rsidR="003C4EDC" w:rsidRPr="00A7184C" w:rsidRDefault="008A170D" w:rsidP="00A7184C">
    <w:pPr>
      <w:pStyle w:val="Footer"/>
      <w:pBdr>
        <w:top w:val="dotted" w:sz="4" w:space="1" w:color="auto"/>
      </w:pBdr>
      <w:tabs>
        <w:tab w:val="clear" w:pos="8640"/>
        <w:tab w:val="left" w:pos="4680"/>
        <w:tab w:val="right" w:pos="9540"/>
      </w:tabs>
      <w:rPr>
        <w:rFonts w:cs="Arial"/>
        <w:sz w:val="16"/>
        <w:szCs w:val="16"/>
        <w:lang w:val="en-US" w:eastAsia="en-US"/>
      </w:rPr>
    </w:pPr>
    <w:r>
      <w:rPr>
        <w:rFonts w:cs="Arial"/>
        <w:sz w:val="16"/>
        <w:szCs w:val="16"/>
        <w:lang w:val="en-US" w:eastAsia="en-US"/>
      </w:rPr>
      <w:t>202</w:t>
    </w:r>
    <w:r w:rsidR="00426CBB">
      <w:rPr>
        <w:rFonts w:cs="Arial"/>
        <w:sz w:val="16"/>
        <w:szCs w:val="16"/>
        <w:lang w:val="en-US" w:eastAsia="en-US"/>
      </w:rPr>
      <w:t>4</w:t>
    </w:r>
    <w:r w:rsidR="003C4EDC" w:rsidRPr="00E75B1A">
      <w:rPr>
        <w:rFonts w:cs="Arial"/>
        <w:sz w:val="16"/>
        <w:szCs w:val="16"/>
        <w:lang w:val="en-US" w:eastAsia="en-US"/>
      </w:rPr>
      <w:t xml:space="preserve"> TxCDBG Project Implementation Manual</w:t>
    </w:r>
    <w:r w:rsidR="003C4EDC" w:rsidRPr="00E75B1A">
      <w:rPr>
        <w:rFonts w:cs="Arial"/>
        <w:sz w:val="16"/>
        <w:szCs w:val="16"/>
        <w:lang w:val="en-US" w:eastAsia="en-US"/>
      </w:rPr>
      <w:tab/>
      <w:t xml:space="preserve">               Section C – Housing Rehabilitation                   </w:t>
    </w:r>
    <w:r w:rsidR="00994F91">
      <w:rPr>
        <w:rFonts w:cs="Arial"/>
        <w:sz w:val="16"/>
        <w:szCs w:val="16"/>
        <w:lang w:val="en-US" w:eastAsia="en-US"/>
      </w:rPr>
      <w:t>9</w:t>
    </w:r>
    <w:r w:rsidR="00722934">
      <w:rPr>
        <w:rFonts w:cs="Arial"/>
        <w:sz w:val="16"/>
        <w:szCs w:val="16"/>
        <w:lang w:val="en-US" w:eastAsia="en-US"/>
      </w:rPr>
      <w:t>.1.202</w:t>
    </w:r>
    <w:r w:rsidR="00DB2D98">
      <w:rPr>
        <w:rFonts w:cs="Arial"/>
        <w:sz w:val="16"/>
        <w:szCs w:val="16"/>
        <w:lang w:val="en-US" w:eastAsia="en-US"/>
      </w:rPr>
      <w:t>4</w:t>
    </w:r>
    <w:r w:rsidR="003C4EDC" w:rsidRPr="00E75B1A">
      <w:rPr>
        <w:rFonts w:cs="Arial"/>
        <w:sz w:val="16"/>
        <w:szCs w:val="16"/>
        <w:lang w:val="en-US" w:eastAsia="en-US"/>
      </w:rPr>
      <w:tab/>
    </w:r>
    <w:r w:rsidR="003C4EDC" w:rsidRPr="00A7184C">
      <w:rPr>
        <w:rFonts w:cs="Arial"/>
        <w:sz w:val="16"/>
        <w:szCs w:val="16"/>
        <w:lang w:val="en-US" w:eastAsia="en-US"/>
      </w:rPr>
      <w:fldChar w:fldCharType="begin"/>
    </w:r>
    <w:r w:rsidR="003C4EDC" w:rsidRPr="00A7184C">
      <w:rPr>
        <w:rFonts w:cs="Arial"/>
        <w:sz w:val="16"/>
        <w:szCs w:val="16"/>
        <w:lang w:val="en-US" w:eastAsia="en-US"/>
      </w:rPr>
      <w:instrText xml:space="preserve"> PAGE   \* MERGEFORMAT </w:instrText>
    </w:r>
    <w:r w:rsidR="003C4EDC" w:rsidRPr="00A7184C">
      <w:rPr>
        <w:rFonts w:cs="Arial"/>
        <w:sz w:val="16"/>
        <w:szCs w:val="16"/>
        <w:lang w:val="en-US" w:eastAsia="en-US"/>
      </w:rPr>
      <w:fldChar w:fldCharType="separate"/>
    </w:r>
    <w:r w:rsidR="003C4EDC">
      <w:rPr>
        <w:rFonts w:cs="Arial"/>
        <w:noProof/>
        <w:sz w:val="16"/>
        <w:szCs w:val="16"/>
        <w:lang w:val="en-US" w:eastAsia="en-US"/>
      </w:rPr>
      <w:t>4</w:t>
    </w:r>
    <w:r w:rsidR="003C4EDC" w:rsidRPr="00A7184C">
      <w:rPr>
        <w:rFonts w:cs="Arial"/>
        <w:sz w:val="16"/>
        <w:szCs w:val="16"/>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9F396" w14:textId="77777777" w:rsidR="00295788" w:rsidRPr="00EC1756" w:rsidRDefault="00295788">
      <w:pPr>
        <w:rPr>
          <w:sz w:val="18"/>
          <w:szCs w:val="18"/>
        </w:rPr>
      </w:pPr>
      <w:r w:rsidRPr="00EC1756">
        <w:rPr>
          <w:sz w:val="18"/>
          <w:szCs w:val="18"/>
        </w:rPr>
        <w:separator/>
      </w:r>
    </w:p>
  </w:footnote>
  <w:footnote w:type="continuationSeparator" w:id="0">
    <w:p w14:paraId="2DA05199" w14:textId="77777777" w:rsidR="00295788" w:rsidRPr="00EC1756" w:rsidRDefault="00295788">
      <w:pPr>
        <w:rPr>
          <w:sz w:val="18"/>
          <w:szCs w:val="18"/>
        </w:rPr>
      </w:pPr>
      <w:r w:rsidRPr="00EC1756">
        <w:rPr>
          <w:sz w:val="18"/>
          <w:szCs w:val="18"/>
        </w:rPr>
        <w:continuationSeparator/>
      </w:r>
    </w:p>
  </w:footnote>
  <w:footnote w:id="1">
    <w:p w14:paraId="74557896" w14:textId="0C16D84E" w:rsidR="001837D3" w:rsidRDefault="001837D3">
      <w:pPr>
        <w:pStyle w:val="FootnoteText"/>
      </w:pPr>
      <w:r>
        <w:rPr>
          <w:rStyle w:val="FootnoteReference"/>
        </w:rPr>
        <w:footnoteRef/>
      </w:r>
      <w:r>
        <w:t xml:space="preserve"> </w:t>
      </w:r>
      <w:r w:rsidRPr="00F449F4">
        <w:rPr>
          <w:i w:val="0"/>
          <w:iCs w:val="0"/>
        </w:rPr>
        <w:t>Section 105(a)(15),</w:t>
      </w:r>
    </w:p>
  </w:footnote>
  <w:footnote w:id="2">
    <w:p w14:paraId="77B7D455" w14:textId="7ECA8FCE" w:rsidR="004E4444" w:rsidRPr="00F449F4" w:rsidRDefault="004E4444">
      <w:pPr>
        <w:pStyle w:val="FootnoteText"/>
        <w:rPr>
          <w:i w:val="0"/>
          <w:iCs w:val="0"/>
        </w:rPr>
      </w:pPr>
      <w:r w:rsidRPr="00F449F4">
        <w:rPr>
          <w:rStyle w:val="FootnoteReference"/>
          <w:i w:val="0"/>
          <w:iCs w:val="0"/>
        </w:rPr>
        <w:footnoteRef/>
      </w:r>
      <w:r w:rsidRPr="00F449F4">
        <w:rPr>
          <w:i w:val="0"/>
          <w:iCs w:val="0"/>
        </w:rPr>
        <w:t xml:space="preserve"> 24 CFR Part 35, Subparts L through R, for lead-based paint requirements</w:t>
      </w:r>
    </w:p>
  </w:footnote>
  <w:footnote w:id="3">
    <w:p w14:paraId="6D3AAB13" w14:textId="1AE0FC19" w:rsidR="004E4444" w:rsidRDefault="004E4444">
      <w:pPr>
        <w:pStyle w:val="FootnoteText"/>
      </w:pPr>
      <w:r>
        <w:rPr>
          <w:rStyle w:val="FootnoteReference"/>
        </w:rPr>
        <w:footnoteRef/>
      </w:r>
      <w:r>
        <w:t xml:space="preserve"> </w:t>
      </w:r>
      <w:r w:rsidRPr="00F449F4">
        <w:rPr>
          <w:i w:val="0"/>
          <w:iCs w:val="0"/>
        </w:rPr>
        <w:t>24 CFR § 35.110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707015"/>
      <w:docPartObj>
        <w:docPartGallery w:val="Watermarks"/>
        <w:docPartUnique/>
      </w:docPartObj>
    </w:sdtPr>
    <w:sdtContent>
      <w:p w14:paraId="2D111212" w14:textId="5F815E08" w:rsidR="002644D0" w:rsidRDefault="002644D0">
        <w:pPr>
          <w:pStyle w:val="Header"/>
        </w:pPr>
        <w:r>
          <w:rPr>
            <w:noProof/>
          </w:rPr>
          <w:pict w14:anchorId="034D0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B5187"/>
    <w:multiLevelType w:val="hybridMultilevel"/>
    <w:tmpl w:val="D1124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8743C"/>
    <w:multiLevelType w:val="hybridMultilevel"/>
    <w:tmpl w:val="0584F7E0"/>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Arial"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08D2BA5"/>
    <w:multiLevelType w:val="hybridMultilevel"/>
    <w:tmpl w:val="05A6325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0C05A50"/>
    <w:multiLevelType w:val="hybridMultilevel"/>
    <w:tmpl w:val="D772DF38"/>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0D61BF3"/>
    <w:multiLevelType w:val="hybridMultilevel"/>
    <w:tmpl w:val="E8C8BFA4"/>
    <w:lvl w:ilvl="0" w:tplc="3A58949E">
      <w:start w:val="1"/>
      <w:numFmt w:val="bullet"/>
      <w:pStyle w:val="2BULLETArial11"/>
      <w:lvlText w:val=""/>
      <w:lvlJc w:val="left"/>
      <w:pPr>
        <w:ind w:left="630"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9405B53"/>
    <w:multiLevelType w:val="hybridMultilevel"/>
    <w:tmpl w:val="B178BFB4"/>
    <w:lvl w:ilvl="0" w:tplc="DF66F1E8">
      <w:start w:val="1"/>
      <w:numFmt w:val="bullet"/>
      <w:lvlText w:val=""/>
      <w:lvlJc w:val="left"/>
      <w:pPr>
        <w:tabs>
          <w:tab w:val="num" w:pos="1500"/>
        </w:tabs>
        <w:ind w:left="1500" w:hanging="360"/>
      </w:pPr>
      <w:rPr>
        <w:rFonts w:ascii="Symbol" w:hAnsi="Symbol" w:hint="default"/>
      </w:rPr>
    </w:lvl>
    <w:lvl w:ilvl="1" w:tplc="04090019" w:tentative="1">
      <w:start w:val="1"/>
      <w:numFmt w:val="bullet"/>
      <w:lvlText w:val="o"/>
      <w:lvlJc w:val="left"/>
      <w:pPr>
        <w:tabs>
          <w:tab w:val="num" w:pos="2220"/>
        </w:tabs>
        <w:ind w:left="2220" w:hanging="360"/>
      </w:pPr>
      <w:rPr>
        <w:rFonts w:ascii="Courier New" w:hAnsi="Courier New" w:cs="Arial" w:hint="default"/>
      </w:rPr>
    </w:lvl>
    <w:lvl w:ilvl="2" w:tplc="0409001B" w:tentative="1">
      <w:start w:val="1"/>
      <w:numFmt w:val="bullet"/>
      <w:lvlText w:val=""/>
      <w:lvlJc w:val="left"/>
      <w:pPr>
        <w:tabs>
          <w:tab w:val="num" w:pos="2940"/>
        </w:tabs>
        <w:ind w:left="2940" w:hanging="360"/>
      </w:pPr>
      <w:rPr>
        <w:rFonts w:ascii="Wingdings" w:hAnsi="Wingdings" w:hint="default"/>
      </w:rPr>
    </w:lvl>
    <w:lvl w:ilvl="3" w:tplc="0409000F" w:tentative="1">
      <w:start w:val="1"/>
      <w:numFmt w:val="bullet"/>
      <w:lvlText w:val=""/>
      <w:lvlJc w:val="left"/>
      <w:pPr>
        <w:tabs>
          <w:tab w:val="num" w:pos="3660"/>
        </w:tabs>
        <w:ind w:left="3660" w:hanging="360"/>
      </w:pPr>
      <w:rPr>
        <w:rFonts w:ascii="Symbol" w:hAnsi="Symbol" w:hint="default"/>
      </w:rPr>
    </w:lvl>
    <w:lvl w:ilvl="4" w:tplc="04090019" w:tentative="1">
      <w:start w:val="1"/>
      <w:numFmt w:val="bullet"/>
      <w:lvlText w:val="o"/>
      <w:lvlJc w:val="left"/>
      <w:pPr>
        <w:tabs>
          <w:tab w:val="num" w:pos="4380"/>
        </w:tabs>
        <w:ind w:left="4380" w:hanging="360"/>
      </w:pPr>
      <w:rPr>
        <w:rFonts w:ascii="Courier New" w:hAnsi="Courier New" w:cs="Arial" w:hint="default"/>
      </w:rPr>
    </w:lvl>
    <w:lvl w:ilvl="5" w:tplc="0409001B" w:tentative="1">
      <w:start w:val="1"/>
      <w:numFmt w:val="bullet"/>
      <w:lvlText w:val=""/>
      <w:lvlJc w:val="left"/>
      <w:pPr>
        <w:tabs>
          <w:tab w:val="num" w:pos="5100"/>
        </w:tabs>
        <w:ind w:left="5100" w:hanging="360"/>
      </w:pPr>
      <w:rPr>
        <w:rFonts w:ascii="Wingdings" w:hAnsi="Wingdings" w:hint="default"/>
      </w:rPr>
    </w:lvl>
    <w:lvl w:ilvl="6" w:tplc="0409000F" w:tentative="1">
      <w:start w:val="1"/>
      <w:numFmt w:val="bullet"/>
      <w:lvlText w:val=""/>
      <w:lvlJc w:val="left"/>
      <w:pPr>
        <w:tabs>
          <w:tab w:val="num" w:pos="5820"/>
        </w:tabs>
        <w:ind w:left="5820" w:hanging="360"/>
      </w:pPr>
      <w:rPr>
        <w:rFonts w:ascii="Symbol" w:hAnsi="Symbol" w:hint="default"/>
      </w:rPr>
    </w:lvl>
    <w:lvl w:ilvl="7" w:tplc="04090019" w:tentative="1">
      <w:start w:val="1"/>
      <w:numFmt w:val="bullet"/>
      <w:lvlText w:val="o"/>
      <w:lvlJc w:val="left"/>
      <w:pPr>
        <w:tabs>
          <w:tab w:val="num" w:pos="6540"/>
        </w:tabs>
        <w:ind w:left="6540" w:hanging="360"/>
      </w:pPr>
      <w:rPr>
        <w:rFonts w:ascii="Courier New" w:hAnsi="Courier New" w:cs="Arial" w:hint="default"/>
      </w:rPr>
    </w:lvl>
    <w:lvl w:ilvl="8" w:tplc="0409001B"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19D830DA"/>
    <w:multiLevelType w:val="hybridMultilevel"/>
    <w:tmpl w:val="B596C3BA"/>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Arial"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2941557F"/>
    <w:multiLevelType w:val="multilevel"/>
    <w:tmpl w:val="59C6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F3040"/>
    <w:multiLevelType w:val="hybridMultilevel"/>
    <w:tmpl w:val="56CC3174"/>
    <w:lvl w:ilvl="0" w:tplc="04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763F7"/>
    <w:multiLevelType w:val="hybridMultilevel"/>
    <w:tmpl w:val="8A5C7004"/>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2D8A3D3F"/>
    <w:multiLevelType w:val="hybridMultilevel"/>
    <w:tmpl w:val="A41C3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C1F4D"/>
    <w:multiLevelType w:val="hybridMultilevel"/>
    <w:tmpl w:val="FBAC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8743C"/>
    <w:multiLevelType w:val="hybridMultilevel"/>
    <w:tmpl w:val="F146CD40"/>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317343F6"/>
    <w:multiLevelType w:val="hybridMultilevel"/>
    <w:tmpl w:val="F618BB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196FC9"/>
    <w:multiLevelType w:val="hybridMultilevel"/>
    <w:tmpl w:val="963887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34C9343B"/>
    <w:multiLevelType w:val="hybridMultilevel"/>
    <w:tmpl w:val="6F40769C"/>
    <w:lvl w:ilvl="0" w:tplc="0409000F">
      <w:start w:val="1"/>
      <w:numFmt w:val="bullet"/>
      <w:lvlText w:val=""/>
      <w:lvlJc w:val="left"/>
      <w:pPr>
        <w:tabs>
          <w:tab w:val="num" w:pos="720"/>
        </w:tabs>
        <w:ind w:left="720" w:hanging="360"/>
      </w:pPr>
      <w:rPr>
        <w:rFonts w:ascii="Symbol" w:hAnsi="Symbol" w:hint="default"/>
        <w:b w:val="0"/>
        <w:sz w:val="20"/>
        <w:szCs w:val="20"/>
      </w:rPr>
    </w:lvl>
    <w:lvl w:ilvl="1" w:tplc="D638E374">
      <w:start w:val="1"/>
      <w:numFmt w:val="bullet"/>
      <w:lvlText w:val="o"/>
      <w:lvlJc w:val="left"/>
      <w:pPr>
        <w:tabs>
          <w:tab w:val="num" w:pos="630"/>
        </w:tabs>
        <w:ind w:left="630" w:hanging="360"/>
      </w:pPr>
      <w:rPr>
        <w:rFonts w:ascii="Courier New" w:hAnsi="Courier New" w:hint="default"/>
      </w:rPr>
    </w:lvl>
    <w:lvl w:ilvl="2" w:tplc="6BCE28AA">
      <w:start w:val="1"/>
      <w:numFmt w:val="bullet"/>
      <w:lvlText w:val="o"/>
      <w:lvlJc w:val="left"/>
      <w:pPr>
        <w:tabs>
          <w:tab w:val="num" w:pos="1440"/>
        </w:tabs>
        <w:ind w:left="1440" w:hanging="360"/>
      </w:pPr>
      <w:rPr>
        <w:rFonts w:ascii="Courier New" w:hAnsi="Courier New"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E69ED"/>
    <w:multiLevelType w:val="hybridMultilevel"/>
    <w:tmpl w:val="009CCC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954" w:hanging="360"/>
      </w:pPr>
      <w:rPr>
        <w:rFonts w:ascii="Courier New" w:hAnsi="Courier New" w:cs="Courier New" w:hint="default"/>
      </w:rPr>
    </w:lvl>
    <w:lvl w:ilvl="2" w:tplc="04090005">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Arial"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Arial" w:hint="default"/>
      </w:rPr>
    </w:lvl>
    <w:lvl w:ilvl="8" w:tplc="04090005" w:tentative="1">
      <w:start w:val="1"/>
      <w:numFmt w:val="bullet"/>
      <w:lvlText w:val=""/>
      <w:lvlJc w:val="left"/>
      <w:pPr>
        <w:ind w:left="6994" w:hanging="360"/>
      </w:pPr>
      <w:rPr>
        <w:rFonts w:ascii="Wingdings" w:hAnsi="Wingdings" w:hint="default"/>
      </w:rPr>
    </w:lvl>
  </w:abstractNum>
  <w:abstractNum w:abstractNumId="17" w15:restartNumberingAfterBreak="0">
    <w:nsid w:val="452312FE"/>
    <w:multiLevelType w:val="hybridMultilevel"/>
    <w:tmpl w:val="AB4C2A8A"/>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Arial"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50EF3416"/>
    <w:multiLevelType w:val="hybridMultilevel"/>
    <w:tmpl w:val="ECC031E0"/>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527D5ABB"/>
    <w:multiLevelType w:val="hybridMultilevel"/>
    <w:tmpl w:val="125E2322"/>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Arial"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52F7158F"/>
    <w:multiLevelType w:val="hybridMultilevel"/>
    <w:tmpl w:val="8ACE9A54"/>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55A5613B"/>
    <w:multiLevelType w:val="multilevel"/>
    <w:tmpl w:val="C77C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D7E23"/>
    <w:multiLevelType w:val="hybridMultilevel"/>
    <w:tmpl w:val="A2C4D87C"/>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5E4A7800"/>
    <w:multiLevelType w:val="hybridMultilevel"/>
    <w:tmpl w:val="E374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44A51"/>
    <w:multiLevelType w:val="hybridMultilevel"/>
    <w:tmpl w:val="071E6668"/>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Arial"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2760654"/>
    <w:multiLevelType w:val="hybridMultilevel"/>
    <w:tmpl w:val="DFB012D8"/>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Arial"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64066C4"/>
    <w:multiLevelType w:val="hybridMultilevel"/>
    <w:tmpl w:val="866689F8"/>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79DD659A"/>
    <w:multiLevelType w:val="hybridMultilevel"/>
    <w:tmpl w:val="387E8E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21532"/>
    <w:multiLevelType w:val="hybridMultilevel"/>
    <w:tmpl w:val="C802B0E4"/>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Arial"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Arial"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Arial" w:hint="default"/>
      </w:rPr>
    </w:lvl>
    <w:lvl w:ilvl="8" w:tplc="04090005" w:tentative="1">
      <w:start w:val="1"/>
      <w:numFmt w:val="bullet"/>
      <w:lvlText w:val=""/>
      <w:lvlJc w:val="left"/>
      <w:pPr>
        <w:ind w:left="6544" w:hanging="360"/>
      </w:pPr>
      <w:rPr>
        <w:rFonts w:ascii="Wingdings" w:hAnsi="Wingdings" w:hint="default"/>
      </w:rPr>
    </w:lvl>
  </w:abstractNum>
  <w:num w:numId="1" w16cid:durableId="626737409">
    <w:abstractNumId w:val="5"/>
  </w:num>
  <w:num w:numId="2" w16cid:durableId="172258966">
    <w:abstractNumId w:val="15"/>
  </w:num>
  <w:num w:numId="3" w16cid:durableId="879829401">
    <w:abstractNumId w:val="4"/>
  </w:num>
  <w:num w:numId="4" w16cid:durableId="647980628">
    <w:abstractNumId w:val="19"/>
  </w:num>
  <w:num w:numId="5" w16cid:durableId="1767577360">
    <w:abstractNumId w:val="24"/>
  </w:num>
  <w:num w:numId="6" w16cid:durableId="1993220419">
    <w:abstractNumId w:val="25"/>
  </w:num>
  <w:num w:numId="7" w16cid:durableId="1218511385">
    <w:abstractNumId w:val="6"/>
  </w:num>
  <w:num w:numId="8" w16cid:durableId="961881101">
    <w:abstractNumId w:val="1"/>
  </w:num>
  <w:num w:numId="9" w16cid:durableId="1318999017">
    <w:abstractNumId w:val="28"/>
  </w:num>
  <w:num w:numId="10" w16cid:durableId="1654867774">
    <w:abstractNumId w:val="13"/>
  </w:num>
  <w:num w:numId="11" w16cid:durableId="1493790841">
    <w:abstractNumId w:val="0"/>
  </w:num>
  <w:num w:numId="12" w16cid:durableId="400098762">
    <w:abstractNumId w:val="8"/>
  </w:num>
  <w:num w:numId="13" w16cid:durableId="1477063959">
    <w:abstractNumId w:val="27"/>
  </w:num>
  <w:num w:numId="14" w16cid:durableId="1751778285">
    <w:abstractNumId w:val="3"/>
  </w:num>
  <w:num w:numId="15" w16cid:durableId="1233466554">
    <w:abstractNumId w:val="22"/>
  </w:num>
  <w:num w:numId="16" w16cid:durableId="2103062275">
    <w:abstractNumId w:val="17"/>
  </w:num>
  <w:num w:numId="17" w16cid:durableId="1200243224">
    <w:abstractNumId w:val="18"/>
  </w:num>
  <w:num w:numId="18" w16cid:durableId="1741712199">
    <w:abstractNumId w:val="20"/>
  </w:num>
  <w:num w:numId="19" w16cid:durableId="1597251279">
    <w:abstractNumId w:val="2"/>
  </w:num>
  <w:num w:numId="20" w16cid:durableId="642782194">
    <w:abstractNumId w:val="10"/>
  </w:num>
  <w:num w:numId="21" w16cid:durableId="1628243427">
    <w:abstractNumId w:val="12"/>
  </w:num>
  <w:num w:numId="22" w16cid:durableId="240068063">
    <w:abstractNumId w:val="9"/>
  </w:num>
  <w:num w:numId="23" w16cid:durableId="311064741">
    <w:abstractNumId w:val="14"/>
  </w:num>
  <w:num w:numId="24" w16cid:durableId="743799055">
    <w:abstractNumId w:val="26"/>
  </w:num>
  <w:num w:numId="25" w16cid:durableId="2011980325">
    <w:abstractNumId w:val="21"/>
  </w:num>
  <w:num w:numId="26" w16cid:durableId="2081439620">
    <w:abstractNumId w:val="7"/>
  </w:num>
  <w:num w:numId="27" w16cid:durableId="1757021090">
    <w:abstractNumId w:val="4"/>
  </w:num>
  <w:num w:numId="28" w16cid:durableId="405763269">
    <w:abstractNumId w:val="16"/>
  </w:num>
  <w:num w:numId="29" w16cid:durableId="1672491900">
    <w:abstractNumId w:val="23"/>
  </w:num>
  <w:num w:numId="30" w16cid:durableId="193810213">
    <w:abstractNumId w:val="8"/>
    <w:lvlOverride w:ilvl="0">
      <w:startOverride w:val="1"/>
    </w:lvlOverride>
  </w:num>
  <w:num w:numId="31" w16cid:durableId="1484850022">
    <w:abstractNumId w:val="1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ad Hinds">
    <w15:presenceInfo w15:providerId="AD" w15:userId="S::chinds@texasagriculture.gov::d56ce538-ef63-4abf-a106-39bfec284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A6"/>
    <w:rsid w:val="00001DA8"/>
    <w:rsid w:val="00005FD5"/>
    <w:rsid w:val="000131C2"/>
    <w:rsid w:val="00016E18"/>
    <w:rsid w:val="00020E00"/>
    <w:rsid w:val="00030012"/>
    <w:rsid w:val="00031787"/>
    <w:rsid w:val="00036EEB"/>
    <w:rsid w:val="00041533"/>
    <w:rsid w:val="0004381F"/>
    <w:rsid w:val="0005222F"/>
    <w:rsid w:val="000527DC"/>
    <w:rsid w:val="00057AAA"/>
    <w:rsid w:val="00062207"/>
    <w:rsid w:val="00065655"/>
    <w:rsid w:val="000675CF"/>
    <w:rsid w:val="00070BDE"/>
    <w:rsid w:val="00071C47"/>
    <w:rsid w:val="000721F2"/>
    <w:rsid w:val="00075960"/>
    <w:rsid w:val="0007792B"/>
    <w:rsid w:val="000809AC"/>
    <w:rsid w:val="000854D9"/>
    <w:rsid w:val="000939C4"/>
    <w:rsid w:val="000A1E0E"/>
    <w:rsid w:val="000A1EDB"/>
    <w:rsid w:val="000A4B2A"/>
    <w:rsid w:val="000A54EB"/>
    <w:rsid w:val="000B1DA8"/>
    <w:rsid w:val="000B7AEC"/>
    <w:rsid w:val="000C28DC"/>
    <w:rsid w:val="000C5831"/>
    <w:rsid w:val="000C7209"/>
    <w:rsid w:val="000D17EA"/>
    <w:rsid w:val="000D2422"/>
    <w:rsid w:val="000D3AB0"/>
    <w:rsid w:val="000D7D6A"/>
    <w:rsid w:val="000D7F3A"/>
    <w:rsid w:val="000E262B"/>
    <w:rsid w:val="000E3596"/>
    <w:rsid w:val="000E39C4"/>
    <w:rsid w:val="000E4CC2"/>
    <w:rsid w:val="000E505D"/>
    <w:rsid w:val="000F04FE"/>
    <w:rsid w:val="000F44F9"/>
    <w:rsid w:val="000F5D01"/>
    <w:rsid w:val="001002E9"/>
    <w:rsid w:val="00100612"/>
    <w:rsid w:val="001017A7"/>
    <w:rsid w:val="0010551D"/>
    <w:rsid w:val="001072FB"/>
    <w:rsid w:val="001073BE"/>
    <w:rsid w:val="0011703B"/>
    <w:rsid w:val="00117AD0"/>
    <w:rsid w:val="0012216A"/>
    <w:rsid w:val="0012488F"/>
    <w:rsid w:val="001313D4"/>
    <w:rsid w:val="00134AD1"/>
    <w:rsid w:val="0013611B"/>
    <w:rsid w:val="00141586"/>
    <w:rsid w:val="00141D74"/>
    <w:rsid w:val="001444D2"/>
    <w:rsid w:val="001447D9"/>
    <w:rsid w:val="001450F9"/>
    <w:rsid w:val="0015392A"/>
    <w:rsid w:val="00163DF0"/>
    <w:rsid w:val="001719CD"/>
    <w:rsid w:val="00171CC6"/>
    <w:rsid w:val="00177829"/>
    <w:rsid w:val="00181C5F"/>
    <w:rsid w:val="001837D3"/>
    <w:rsid w:val="00185D84"/>
    <w:rsid w:val="00191687"/>
    <w:rsid w:val="00191FC0"/>
    <w:rsid w:val="001938BD"/>
    <w:rsid w:val="001A6729"/>
    <w:rsid w:val="001A7331"/>
    <w:rsid w:val="001B1202"/>
    <w:rsid w:val="001B30ED"/>
    <w:rsid w:val="001B35DC"/>
    <w:rsid w:val="001C12FF"/>
    <w:rsid w:val="001C2AD9"/>
    <w:rsid w:val="001C4661"/>
    <w:rsid w:val="001D0197"/>
    <w:rsid w:val="001D0BB5"/>
    <w:rsid w:val="001D3A95"/>
    <w:rsid w:val="001E21EC"/>
    <w:rsid w:val="001F0375"/>
    <w:rsid w:val="001F30B1"/>
    <w:rsid w:val="001F39EF"/>
    <w:rsid w:val="00201F28"/>
    <w:rsid w:val="00205EDD"/>
    <w:rsid w:val="00220E08"/>
    <w:rsid w:val="002242AC"/>
    <w:rsid w:val="00224B3E"/>
    <w:rsid w:val="0023080C"/>
    <w:rsid w:val="00230A65"/>
    <w:rsid w:val="002347D8"/>
    <w:rsid w:val="00235CA0"/>
    <w:rsid w:val="00235FF9"/>
    <w:rsid w:val="00237415"/>
    <w:rsid w:val="00237889"/>
    <w:rsid w:val="002540F6"/>
    <w:rsid w:val="00255D3C"/>
    <w:rsid w:val="002601E5"/>
    <w:rsid w:val="002610C9"/>
    <w:rsid w:val="002644D0"/>
    <w:rsid w:val="00267E72"/>
    <w:rsid w:val="00270944"/>
    <w:rsid w:val="00273EBD"/>
    <w:rsid w:val="0028314D"/>
    <w:rsid w:val="00295788"/>
    <w:rsid w:val="0029702E"/>
    <w:rsid w:val="002A038E"/>
    <w:rsid w:val="002A566E"/>
    <w:rsid w:val="002A7517"/>
    <w:rsid w:val="002B02B7"/>
    <w:rsid w:val="002B04E2"/>
    <w:rsid w:val="002B1F0D"/>
    <w:rsid w:val="002B2143"/>
    <w:rsid w:val="002B344C"/>
    <w:rsid w:val="002B45DA"/>
    <w:rsid w:val="002B4CA1"/>
    <w:rsid w:val="002C538C"/>
    <w:rsid w:val="002D21A3"/>
    <w:rsid w:val="002D333B"/>
    <w:rsid w:val="002E57E0"/>
    <w:rsid w:val="00301ED0"/>
    <w:rsid w:val="00302422"/>
    <w:rsid w:val="003049CB"/>
    <w:rsid w:val="003055C8"/>
    <w:rsid w:val="00310DB2"/>
    <w:rsid w:val="00312EA9"/>
    <w:rsid w:val="0031511D"/>
    <w:rsid w:val="00320602"/>
    <w:rsid w:val="00326619"/>
    <w:rsid w:val="00326D1B"/>
    <w:rsid w:val="003271D4"/>
    <w:rsid w:val="0033337F"/>
    <w:rsid w:val="00333D1C"/>
    <w:rsid w:val="0033676B"/>
    <w:rsid w:val="003375A0"/>
    <w:rsid w:val="00342D7B"/>
    <w:rsid w:val="00343ACA"/>
    <w:rsid w:val="00344DA4"/>
    <w:rsid w:val="00345509"/>
    <w:rsid w:val="003510A0"/>
    <w:rsid w:val="00353BD7"/>
    <w:rsid w:val="00355E64"/>
    <w:rsid w:val="00366D8F"/>
    <w:rsid w:val="00371DEB"/>
    <w:rsid w:val="003764BE"/>
    <w:rsid w:val="00381C95"/>
    <w:rsid w:val="00385396"/>
    <w:rsid w:val="00386522"/>
    <w:rsid w:val="00387587"/>
    <w:rsid w:val="00390479"/>
    <w:rsid w:val="00392DFC"/>
    <w:rsid w:val="0039518E"/>
    <w:rsid w:val="00397DC3"/>
    <w:rsid w:val="003A1665"/>
    <w:rsid w:val="003A17A9"/>
    <w:rsid w:val="003B621D"/>
    <w:rsid w:val="003B628D"/>
    <w:rsid w:val="003B7A4C"/>
    <w:rsid w:val="003C3974"/>
    <w:rsid w:val="003C4EDC"/>
    <w:rsid w:val="003D09E7"/>
    <w:rsid w:val="003D2421"/>
    <w:rsid w:val="003E0088"/>
    <w:rsid w:val="003E1798"/>
    <w:rsid w:val="003E2BFE"/>
    <w:rsid w:val="003E4ED2"/>
    <w:rsid w:val="003E600E"/>
    <w:rsid w:val="003E6F31"/>
    <w:rsid w:val="003F1806"/>
    <w:rsid w:val="003F184E"/>
    <w:rsid w:val="003F5534"/>
    <w:rsid w:val="00401C67"/>
    <w:rsid w:val="00401F41"/>
    <w:rsid w:val="00405061"/>
    <w:rsid w:val="00406B71"/>
    <w:rsid w:val="00413201"/>
    <w:rsid w:val="0041526C"/>
    <w:rsid w:val="00417CAC"/>
    <w:rsid w:val="0042047A"/>
    <w:rsid w:val="0042194E"/>
    <w:rsid w:val="004227FD"/>
    <w:rsid w:val="00426CBB"/>
    <w:rsid w:val="004326F9"/>
    <w:rsid w:val="0043328B"/>
    <w:rsid w:val="00450FA8"/>
    <w:rsid w:val="004515BA"/>
    <w:rsid w:val="00451A27"/>
    <w:rsid w:val="00451A64"/>
    <w:rsid w:val="0045295B"/>
    <w:rsid w:val="00456129"/>
    <w:rsid w:val="004679E9"/>
    <w:rsid w:val="00481987"/>
    <w:rsid w:val="0049764C"/>
    <w:rsid w:val="004A5096"/>
    <w:rsid w:val="004B3A57"/>
    <w:rsid w:val="004B4D1A"/>
    <w:rsid w:val="004B64B3"/>
    <w:rsid w:val="004B6629"/>
    <w:rsid w:val="004C6ADB"/>
    <w:rsid w:val="004C74F7"/>
    <w:rsid w:val="004D1457"/>
    <w:rsid w:val="004D26AE"/>
    <w:rsid w:val="004E4444"/>
    <w:rsid w:val="004F312F"/>
    <w:rsid w:val="004F510B"/>
    <w:rsid w:val="004F593E"/>
    <w:rsid w:val="0050283C"/>
    <w:rsid w:val="00505666"/>
    <w:rsid w:val="00506BA4"/>
    <w:rsid w:val="00506D8B"/>
    <w:rsid w:val="00507017"/>
    <w:rsid w:val="00511469"/>
    <w:rsid w:val="0051606D"/>
    <w:rsid w:val="00517723"/>
    <w:rsid w:val="005212F9"/>
    <w:rsid w:val="00523831"/>
    <w:rsid w:val="005311BD"/>
    <w:rsid w:val="005415A9"/>
    <w:rsid w:val="00543884"/>
    <w:rsid w:val="00543AC7"/>
    <w:rsid w:val="0055127A"/>
    <w:rsid w:val="00557DC4"/>
    <w:rsid w:val="00560209"/>
    <w:rsid w:val="0056074F"/>
    <w:rsid w:val="00570278"/>
    <w:rsid w:val="005843A8"/>
    <w:rsid w:val="00584BC8"/>
    <w:rsid w:val="00585284"/>
    <w:rsid w:val="00586164"/>
    <w:rsid w:val="00591C6B"/>
    <w:rsid w:val="005952A8"/>
    <w:rsid w:val="005A3BDC"/>
    <w:rsid w:val="005A573D"/>
    <w:rsid w:val="005B326F"/>
    <w:rsid w:val="005B45B1"/>
    <w:rsid w:val="005C51D0"/>
    <w:rsid w:val="005C729B"/>
    <w:rsid w:val="005D2054"/>
    <w:rsid w:val="005D3B1F"/>
    <w:rsid w:val="005D66C5"/>
    <w:rsid w:val="005E0E54"/>
    <w:rsid w:val="005E0F90"/>
    <w:rsid w:val="005E1E16"/>
    <w:rsid w:val="005E4B70"/>
    <w:rsid w:val="005E59DD"/>
    <w:rsid w:val="005F18D8"/>
    <w:rsid w:val="00605979"/>
    <w:rsid w:val="00613473"/>
    <w:rsid w:val="00621C69"/>
    <w:rsid w:val="0062393E"/>
    <w:rsid w:val="0062482A"/>
    <w:rsid w:val="00626A8F"/>
    <w:rsid w:val="00643005"/>
    <w:rsid w:val="00650598"/>
    <w:rsid w:val="00650920"/>
    <w:rsid w:val="00652363"/>
    <w:rsid w:val="00656B94"/>
    <w:rsid w:val="0066789A"/>
    <w:rsid w:val="00670EBB"/>
    <w:rsid w:val="00671543"/>
    <w:rsid w:val="00673A68"/>
    <w:rsid w:val="006768B0"/>
    <w:rsid w:val="00676D51"/>
    <w:rsid w:val="006828B7"/>
    <w:rsid w:val="00684597"/>
    <w:rsid w:val="0069767F"/>
    <w:rsid w:val="00697919"/>
    <w:rsid w:val="006A09C9"/>
    <w:rsid w:val="006A184C"/>
    <w:rsid w:val="006B0747"/>
    <w:rsid w:val="006B372A"/>
    <w:rsid w:val="006C5BFE"/>
    <w:rsid w:val="006C7614"/>
    <w:rsid w:val="006D0D5E"/>
    <w:rsid w:val="006D1500"/>
    <w:rsid w:val="006D7E8F"/>
    <w:rsid w:val="006F217E"/>
    <w:rsid w:val="006F448A"/>
    <w:rsid w:val="006F55DD"/>
    <w:rsid w:val="006F61AC"/>
    <w:rsid w:val="00721B09"/>
    <w:rsid w:val="00721B44"/>
    <w:rsid w:val="00722934"/>
    <w:rsid w:val="0073576C"/>
    <w:rsid w:val="00735E95"/>
    <w:rsid w:val="00736885"/>
    <w:rsid w:val="00747D79"/>
    <w:rsid w:val="00762204"/>
    <w:rsid w:val="00763664"/>
    <w:rsid w:val="00766AB9"/>
    <w:rsid w:val="00770EF9"/>
    <w:rsid w:val="00772EC6"/>
    <w:rsid w:val="007743A6"/>
    <w:rsid w:val="007744BB"/>
    <w:rsid w:val="00784247"/>
    <w:rsid w:val="007847AA"/>
    <w:rsid w:val="0078588A"/>
    <w:rsid w:val="00785A10"/>
    <w:rsid w:val="007A0EAD"/>
    <w:rsid w:val="007A2DDC"/>
    <w:rsid w:val="007C09DE"/>
    <w:rsid w:val="007C1036"/>
    <w:rsid w:val="007C255E"/>
    <w:rsid w:val="007C3A97"/>
    <w:rsid w:val="007D247F"/>
    <w:rsid w:val="007D509D"/>
    <w:rsid w:val="007D7AA4"/>
    <w:rsid w:val="007E0627"/>
    <w:rsid w:val="007E144E"/>
    <w:rsid w:val="007E2935"/>
    <w:rsid w:val="007E6BC0"/>
    <w:rsid w:val="007F048F"/>
    <w:rsid w:val="007F2FFC"/>
    <w:rsid w:val="007F7D75"/>
    <w:rsid w:val="0080182F"/>
    <w:rsid w:val="00801A7D"/>
    <w:rsid w:val="0081315B"/>
    <w:rsid w:val="00813931"/>
    <w:rsid w:val="00815849"/>
    <w:rsid w:val="00826946"/>
    <w:rsid w:val="0083149E"/>
    <w:rsid w:val="008342B0"/>
    <w:rsid w:val="008368DD"/>
    <w:rsid w:val="0084432C"/>
    <w:rsid w:val="00844C3B"/>
    <w:rsid w:val="00847CEC"/>
    <w:rsid w:val="008517F9"/>
    <w:rsid w:val="00856517"/>
    <w:rsid w:val="00860519"/>
    <w:rsid w:val="0086322E"/>
    <w:rsid w:val="0086340A"/>
    <w:rsid w:val="00866678"/>
    <w:rsid w:val="0087171B"/>
    <w:rsid w:val="0087262A"/>
    <w:rsid w:val="00874E94"/>
    <w:rsid w:val="008764C0"/>
    <w:rsid w:val="00877656"/>
    <w:rsid w:val="00884923"/>
    <w:rsid w:val="008874F6"/>
    <w:rsid w:val="00890146"/>
    <w:rsid w:val="00890A1E"/>
    <w:rsid w:val="008913D9"/>
    <w:rsid w:val="00893753"/>
    <w:rsid w:val="00895DB0"/>
    <w:rsid w:val="008A1107"/>
    <w:rsid w:val="008A170D"/>
    <w:rsid w:val="008A3FBA"/>
    <w:rsid w:val="008A6E18"/>
    <w:rsid w:val="008B0A36"/>
    <w:rsid w:val="008B2AA2"/>
    <w:rsid w:val="008C61C2"/>
    <w:rsid w:val="008C62A2"/>
    <w:rsid w:val="008D038D"/>
    <w:rsid w:val="008D2544"/>
    <w:rsid w:val="008D33FC"/>
    <w:rsid w:val="008D4C04"/>
    <w:rsid w:val="008D64E2"/>
    <w:rsid w:val="008D6E85"/>
    <w:rsid w:val="008D7B31"/>
    <w:rsid w:val="008E54AE"/>
    <w:rsid w:val="008E5D76"/>
    <w:rsid w:val="008E678A"/>
    <w:rsid w:val="008F041A"/>
    <w:rsid w:val="008F23D0"/>
    <w:rsid w:val="008F5AC1"/>
    <w:rsid w:val="00900FB8"/>
    <w:rsid w:val="00903AA9"/>
    <w:rsid w:val="009050AB"/>
    <w:rsid w:val="0090767F"/>
    <w:rsid w:val="009133D6"/>
    <w:rsid w:val="0091489C"/>
    <w:rsid w:val="00915FB5"/>
    <w:rsid w:val="00917236"/>
    <w:rsid w:val="00927FAC"/>
    <w:rsid w:val="0093288F"/>
    <w:rsid w:val="009446A1"/>
    <w:rsid w:val="00955295"/>
    <w:rsid w:val="00955F4D"/>
    <w:rsid w:val="00956713"/>
    <w:rsid w:val="00960625"/>
    <w:rsid w:val="00964E88"/>
    <w:rsid w:val="009661B3"/>
    <w:rsid w:val="00967A59"/>
    <w:rsid w:val="0097231F"/>
    <w:rsid w:val="00974AB4"/>
    <w:rsid w:val="0098672A"/>
    <w:rsid w:val="0099229E"/>
    <w:rsid w:val="00994F91"/>
    <w:rsid w:val="00996178"/>
    <w:rsid w:val="0099629E"/>
    <w:rsid w:val="00996C28"/>
    <w:rsid w:val="009A167A"/>
    <w:rsid w:val="009A4A49"/>
    <w:rsid w:val="009A4A6C"/>
    <w:rsid w:val="009B2A65"/>
    <w:rsid w:val="009C056C"/>
    <w:rsid w:val="009D689E"/>
    <w:rsid w:val="009E0E21"/>
    <w:rsid w:val="009E265F"/>
    <w:rsid w:val="009E428C"/>
    <w:rsid w:val="009E60B9"/>
    <w:rsid w:val="009E7366"/>
    <w:rsid w:val="009F183D"/>
    <w:rsid w:val="00A0267C"/>
    <w:rsid w:val="00A05AB0"/>
    <w:rsid w:val="00A06EF8"/>
    <w:rsid w:val="00A12D9C"/>
    <w:rsid w:val="00A15823"/>
    <w:rsid w:val="00A15C7B"/>
    <w:rsid w:val="00A16D8F"/>
    <w:rsid w:val="00A22929"/>
    <w:rsid w:val="00A23030"/>
    <w:rsid w:val="00A30A00"/>
    <w:rsid w:val="00A32B38"/>
    <w:rsid w:val="00A333AA"/>
    <w:rsid w:val="00A338CB"/>
    <w:rsid w:val="00A33FE7"/>
    <w:rsid w:val="00A34F76"/>
    <w:rsid w:val="00A41137"/>
    <w:rsid w:val="00A454E5"/>
    <w:rsid w:val="00A50D97"/>
    <w:rsid w:val="00A54684"/>
    <w:rsid w:val="00A60D91"/>
    <w:rsid w:val="00A7184C"/>
    <w:rsid w:val="00A81ACE"/>
    <w:rsid w:val="00A963CE"/>
    <w:rsid w:val="00AA0D25"/>
    <w:rsid w:val="00AA17F6"/>
    <w:rsid w:val="00AA2B34"/>
    <w:rsid w:val="00AA5E2A"/>
    <w:rsid w:val="00AA7C27"/>
    <w:rsid w:val="00AB1E60"/>
    <w:rsid w:val="00AB6479"/>
    <w:rsid w:val="00AB6D37"/>
    <w:rsid w:val="00AC2C3E"/>
    <w:rsid w:val="00AC350B"/>
    <w:rsid w:val="00AE073C"/>
    <w:rsid w:val="00AE2001"/>
    <w:rsid w:val="00AE22A0"/>
    <w:rsid w:val="00AE49EF"/>
    <w:rsid w:val="00AF37F1"/>
    <w:rsid w:val="00B00D6C"/>
    <w:rsid w:val="00B04CBA"/>
    <w:rsid w:val="00B103E0"/>
    <w:rsid w:val="00B11B14"/>
    <w:rsid w:val="00B147BF"/>
    <w:rsid w:val="00B2035C"/>
    <w:rsid w:val="00B20FE8"/>
    <w:rsid w:val="00B2181B"/>
    <w:rsid w:val="00B2363B"/>
    <w:rsid w:val="00B24A0C"/>
    <w:rsid w:val="00B25656"/>
    <w:rsid w:val="00B26B01"/>
    <w:rsid w:val="00B31128"/>
    <w:rsid w:val="00B3418B"/>
    <w:rsid w:val="00B35563"/>
    <w:rsid w:val="00B44D22"/>
    <w:rsid w:val="00B4546F"/>
    <w:rsid w:val="00B46812"/>
    <w:rsid w:val="00B47549"/>
    <w:rsid w:val="00B56AC6"/>
    <w:rsid w:val="00B6053C"/>
    <w:rsid w:val="00B71478"/>
    <w:rsid w:val="00B7279F"/>
    <w:rsid w:val="00B83302"/>
    <w:rsid w:val="00B85D4D"/>
    <w:rsid w:val="00B903C0"/>
    <w:rsid w:val="00B90BB1"/>
    <w:rsid w:val="00B92B0A"/>
    <w:rsid w:val="00BA2A62"/>
    <w:rsid w:val="00BA41AB"/>
    <w:rsid w:val="00BA4A8E"/>
    <w:rsid w:val="00BB63EB"/>
    <w:rsid w:val="00BB6D40"/>
    <w:rsid w:val="00BC3834"/>
    <w:rsid w:val="00BD1F31"/>
    <w:rsid w:val="00BD5BF6"/>
    <w:rsid w:val="00BE0C70"/>
    <w:rsid w:val="00BE2206"/>
    <w:rsid w:val="00BE2FB2"/>
    <w:rsid w:val="00BE46F7"/>
    <w:rsid w:val="00BE69D8"/>
    <w:rsid w:val="00BE6FD1"/>
    <w:rsid w:val="00BF0862"/>
    <w:rsid w:val="00BF122C"/>
    <w:rsid w:val="00BF1A81"/>
    <w:rsid w:val="00BF1C9C"/>
    <w:rsid w:val="00BF4400"/>
    <w:rsid w:val="00BF455A"/>
    <w:rsid w:val="00BF73FA"/>
    <w:rsid w:val="00C0058E"/>
    <w:rsid w:val="00C0408A"/>
    <w:rsid w:val="00C04EDC"/>
    <w:rsid w:val="00C12448"/>
    <w:rsid w:val="00C309D3"/>
    <w:rsid w:val="00C37C60"/>
    <w:rsid w:val="00C4002F"/>
    <w:rsid w:val="00C40C6D"/>
    <w:rsid w:val="00C41749"/>
    <w:rsid w:val="00C41E9A"/>
    <w:rsid w:val="00C53016"/>
    <w:rsid w:val="00C539C9"/>
    <w:rsid w:val="00C6259B"/>
    <w:rsid w:val="00C6482E"/>
    <w:rsid w:val="00C66916"/>
    <w:rsid w:val="00C73241"/>
    <w:rsid w:val="00C771FC"/>
    <w:rsid w:val="00C81371"/>
    <w:rsid w:val="00C83601"/>
    <w:rsid w:val="00C90AE6"/>
    <w:rsid w:val="00C915E5"/>
    <w:rsid w:val="00C92903"/>
    <w:rsid w:val="00C94E64"/>
    <w:rsid w:val="00CA0B52"/>
    <w:rsid w:val="00CA335B"/>
    <w:rsid w:val="00CB137A"/>
    <w:rsid w:val="00CB2BAD"/>
    <w:rsid w:val="00CB47B4"/>
    <w:rsid w:val="00CB69FC"/>
    <w:rsid w:val="00CB7188"/>
    <w:rsid w:val="00CB798C"/>
    <w:rsid w:val="00CC116F"/>
    <w:rsid w:val="00CC60AE"/>
    <w:rsid w:val="00CE1529"/>
    <w:rsid w:val="00CE2FAC"/>
    <w:rsid w:val="00CE59B6"/>
    <w:rsid w:val="00CE763A"/>
    <w:rsid w:val="00CF0C65"/>
    <w:rsid w:val="00CF34A6"/>
    <w:rsid w:val="00D00964"/>
    <w:rsid w:val="00D01693"/>
    <w:rsid w:val="00D04A2D"/>
    <w:rsid w:val="00D05790"/>
    <w:rsid w:val="00D152FE"/>
    <w:rsid w:val="00D162E2"/>
    <w:rsid w:val="00D171D7"/>
    <w:rsid w:val="00D231AC"/>
    <w:rsid w:val="00D247BF"/>
    <w:rsid w:val="00D24B89"/>
    <w:rsid w:val="00D279EF"/>
    <w:rsid w:val="00D31389"/>
    <w:rsid w:val="00D346B7"/>
    <w:rsid w:val="00D41775"/>
    <w:rsid w:val="00D47343"/>
    <w:rsid w:val="00D56569"/>
    <w:rsid w:val="00D603FE"/>
    <w:rsid w:val="00D6468C"/>
    <w:rsid w:val="00D675E6"/>
    <w:rsid w:val="00D67E37"/>
    <w:rsid w:val="00D703F2"/>
    <w:rsid w:val="00D729A3"/>
    <w:rsid w:val="00D74915"/>
    <w:rsid w:val="00D749D8"/>
    <w:rsid w:val="00D74DE1"/>
    <w:rsid w:val="00D76528"/>
    <w:rsid w:val="00D77A5B"/>
    <w:rsid w:val="00D85943"/>
    <w:rsid w:val="00D90F50"/>
    <w:rsid w:val="00D9452D"/>
    <w:rsid w:val="00DA1BD2"/>
    <w:rsid w:val="00DA5BF0"/>
    <w:rsid w:val="00DB2D98"/>
    <w:rsid w:val="00DB656A"/>
    <w:rsid w:val="00DB7AAB"/>
    <w:rsid w:val="00DC0E87"/>
    <w:rsid w:val="00DC393F"/>
    <w:rsid w:val="00DC6A06"/>
    <w:rsid w:val="00DD15C2"/>
    <w:rsid w:val="00DD51FA"/>
    <w:rsid w:val="00DE6B94"/>
    <w:rsid w:val="00DE7359"/>
    <w:rsid w:val="00DF1650"/>
    <w:rsid w:val="00DF2C37"/>
    <w:rsid w:val="00DF3F31"/>
    <w:rsid w:val="00DF419C"/>
    <w:rsid w:val="00DF7BB7"/>
    <w:rsid w:val="00E0214D"/>
    <w:rsid w:val="00E04486"/>
    <w:rsid w:val="00E1389E"/>
    <w:rsid w:val="00E179FD"/>
    <w:rsid w:val="00E21242"/>
    <w:rsid w:val="00E23BEB"/>
    <w:rsid w:val="00E6208A"/>
    <w:rsid w:val="00E66280"/>
    <w:rsid w:val="00E66C33"/>
    <w:rsid w:val="00E75B1A"/>
    <w:rsid w:val="00E76D57"/>
    <w:rsid w:val="00EA0F71"/>
    <w:rsid w:val="00EA3407"/>
    <w:rsid w:val="00EA452F"/>
    <w:rsid w:val="00EA57A0"/>
    <w:rsid w:val="00EA7A72"/>
    <w:rsid w:val="00EA7A99"/>
    <w:rsid w:val="00EA7D38"/>
    <w:rsid w:val="00EB0AE7"/>
    <w:rsid w:val="00EB1864"/>
    <w:rsid w:val="00EB1E13"/>
    <w:rsid w:val="00EC2ED7"/>
    <w:rsid w:val="00EC3F3B"/>
    <w:rsid w:val="00EC5A2C"/>
    <w:rsid w:val="00ED1128"/>
    <w:rsid w:val="00ED16B3"/>
    <w:rsid w:val="00ED181E"/>
    <w:rsid w:val="00ED6E6D"/>
    <w:rsid w:val="00EF217C"/>
    <w:rsid w:val="00EF7BFA"/>
    <w:rsid w:val="00EF7C68"/>
    <w:rsid w:val="00F01D27"/>
    <w:rsid w:val="00F1213B"/>
    <w:rsid w:val="00F124B5"/>
    <w:rsid w:val="00F13790"/>
    <w:rsid w:val="00F160F5"/>
    <w:rsid w:val="00F176D1"/>
    <w:rsid w:val="00F23107"/>
    <w:rsid w:val="00F25FF1"/>
    <w:rsid w:val="00F35C1D"/>
    <w:rsid w:val="00F449F4"/>
    <w:rsid w:val="00F4619A"/>
    <w:rsid w:val="00F509C9"/>
    <w:rsid w:val="00F51064"/>
    <w:rsid w:val="00F54050"/>
    <w:rsid w:val="00F60E26"/>
    <w:rsid w:val="00F6560A"/>
    <w:rsid w:val="00F84374"/>
    <w:rsid w:val="00F90985"/>
    <w:rsid w:val="00F91A4A"/>
    <w:rsid w:val="00F947F6"/>
    <w:rsid w:val="00FA0031"/>
    <w:rsid w:val="00FA0D16"/>
    <w:rsid w:val="00FA381A"/>
    <w:rsid w:val="00FA48A5"/>
    <w:rsid w:val="00FB0CA1"/>
    <w:rsid w:val="00FC3274"/>
    <w:rsid w:val="00FC68A5"/>
    <w:rsid w:val="00FD510C"/>
    <w:rsid w:val="00FE661D"/>
    <w:rsid w:val="00FE7E42"/>
    <w:rsid w:val="00FF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83F39"/>
  <w15:chartTrackingRefBased/>
  <w15:docId w15:val="{76B50DF6-4455-489A-90D3-D3E3F461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444"/>
    <w:rPr>
      <w:rFonts w:ascii="Arial" w:hAnsi="Arial"/>
      <w:sz w:val="22"/>
      <w:szCs w:val="24"/>
    </w:rPr>
  </w:style>
  <w:style w:type="paragraph" w:styleId="Heading1">
    <w:name w:val="heading 1"/>
    <w:basedOn w:val="Normal"/>
    <w:next w:val="Normal"/>
    <w:qFormat/>
    <w:rsid w:val="008913D9"/>
    <w:pPr>
      <w:keepNext/>
      <w:jc w:val="center"/>
      <w:outlineLvl w:val="0"/>
    </w:pPr>
    <w:rPr>
      <w:rFonts w:cs="Arial"/>
      <w:b/>
      <w:sz w:val="40"/>
      <w:szCs w:val="52"/>
      <w:u w:val="single"/>
    </w:rPr>
  </w:style>
  <w:style w:type="paragraph" w:styleId="Heading2">
    <w:name w:val="heading 2"/>
    <w:aliases w:val="14 Bold Arial"/>
    <w:basedOn w:val="Normal"/>
    <w:next w:val="Normal"/>
    <w:qFormat/>
    <w:rsid w:val="008913D9"/>
    <w:pPr>
      <w:keepNext/>
      <w:outlineLvl w:val="1"/>
    </w:pPr>
    <w:rPr>
      <w:rFonts w:cs="Arial"/>
      <w:b/>
      <w:sz w:val="28"/>
      <w:szCs w:val="28"/>
      <w:u w:val="single"/>
    </w:rPr>
  </w:style>
  <w:style w:type="paragraph" w:styleId="Heading3">
    <w:name w:val="heading 3"/>
    <w:basedOn w:val="Normal"/>
    <w:next w:val="Normal"/>
    <w:qFormat/>
    <w:rsid w:val="005A4E26"/>
    <w:pPr>
      <w:keepNext/>
      <w:outlineLvl w:val="2"/>
    </w:pPr>
    <w:rPr>
      <w:rFonts w:cs="Arial"/>
      <w:b/>
      <w:sz w:val="40"/>
      <w:szCs w:val="40"/>
    </w:rPr>
  </w:style>
  <w:style w:type="paragraph" w:styleId="Heading4">
    <w:name w:val="heading 4"/>
    <w:basedOn w:val="Normal"/>
    <w:qFormat/>
    <w:rsid w:val="005922BE"/>
    <w:pPr>
      <w:keepNext/>
      <w:tabs>
        <w:tab w:val="num" w:pos="1440"/>
      </w:tabs>
      <w:suppressAutoHyphens/>
      <w:spacing w:after="120"/>
      <w:ind w:left="1440" w:hanging="1440"/>
      <w:outlineLvl w:val="3"/>
    </w:pPr>
    <w:rPr>
      <w:b/>
      <w:i/>
      <w:szCs w:val="20"/>
    </w:rPr>
  </w:style>
  <w:style w:type="paragraph" w:styleId="Heading5">
    <w:name w:val="heading 5"/>
    <w:basedOn w:val="Normal"/>
    <w:next w:val="Normal"/>
    <w:qFormat/>
    <w:rsid w:val="00A44E8B"/>
    <w:pPr>
      <w:keepNext/>
      <w:jc w:val="center"/>
      <w:outlineLvl w:val="4"/>
    </w:pPr>
    <w:rPr>
      <w:rFonts w:cs="Arial"/>
      <w:b/>
      <w:sz w:val="32"/>
      <w:szCs w:val="32"/>
    </w:rPr>
  </w:style>
  <w:style w:type="paragraph" w:styleId="Heading6">
    <w:name w:val="heading 6"/>
    <w:basedOn w:val="Normal"/>
    <w:next w:val="Normal"/>
    <w:qFormat/>
    <w:rsid w:val="00825BD9"/>
    <w:pPr>
      <w:keepNext/>
      <w:tabs>
        <w:tab w:val="center" w:pos="5148"/>
      </w:tabs>
      <w:jc w:val="center"/>
      <w:outlineLvl w:val="5"/>
    </w:pPr>
    <w:rPr>
      <w:rFonts w:cs="Arial"/>
      <w:b/>
      <w:i/>
      <w:u w:val="single"/>
    </w:rPr>
  </w:style>
  <w:style w:type="paragraph" w:styleId="Heading7">
    <w:name w:val="heading 7"/>
    <w:basedOn w:val="Normal"/>
    <w:next w:val="Normal"/>
    <w:qFormat/>
    <w:rsid w:val="00825BD9"/>
    <w:pPr>
      <w:keepNext/>
      <w:tabs>
        <w:tab w:val="left" w:pos="162"/>
        <w:tab w:val="left" w:pos="252"/>
      </w:tabs>
      <w:ind w:left="252" w:hanging="270"/>
      <w:outlineLvl w:val="6"/>
    </w:pPr>
    <w:rPr>
      <w:sz w:val="12"/>
      <w:szCs w:val="12"/>
      <w:u w:val="single"/>
    </w:rPr>
  </w:style>
  <w:style w:type="paragraph" w:styleId="Heading8">
    <w:name w:val="heading 8"/>
    <w:basedOn w:val="Normal"/>
    <w:next w:val="Normal"/>
    <w:qFormat/>
    <w:rsid w:val="00825BD9"/>
    <w:pPr>
      <w:keepNext/>
      <w:outlineLvl w:val="7"/>
    </w:pPr>
    <w:rPr>
      <w:sz w:val="12"/>
      <w:szCs w:val="12"/>
      <w:u w:val="single"/>
    </w:rPr>
  </w:style>
  <w:style w:type="paragraph" w:styleId="Heading9">
    <w:name w:val="heading 9"/>
    <w:basedOn w:val="Normal"/>
    <w:next w:val="Normal"/>
    <w:qFormat/>
    <w:rsid w:val="00825BD9"/>
    <w:pPr>
      <w:keepNext/>
      <w:tabs>
        <w:tab w:val="center" w:pos="5148"/>
      </w:tabs>
      <w:outlineLvl w:val="8"/>
    </w:pPr>
    <w:rPr>
      <w:rFonts w:cs="Arial"/>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34A6"/>
    <w:rPr>
      <w:color w:val="0000FF"/>
      <w:u w:val="single"/>
    </w:rPr>
  </w:style>
  <w:style w:type="character" w:styleId="FootnoteReference">
    <w:name w:val="footnote reference"/>
    <w:semiHidden/>
    <w:rsid w:val="00CF34A6"/>
    <w:rPr>
      <w:vertAlign w:val="superscript"/>
    </w:rPr>
  </w:style>
  <w:style w:type="paragraph" w:styleId="FootnoteText">
    <w:name w:val="footnote text"/>
    <w:basedOn w:val="Normal"/>
    <w:semiHidden/>
    <w:rsid w:val="00CF34A6"/>
    <w:pPr>
      <w:spacing w:after="120"/>
    </w:pPr>
    <w:rPr>
      <w:i/>
      <w:iCs/>
      <w:sz w:val="18"/>
      <w:szCs w:val="20"/>
    </w:rPr>
  </w:style>
  <w:style w:type="paragraph" w:styleId="BalloonText">
    <w:name w:val="Balloon Text"/>
    <w:basedOn w:val="Normal"/>
    <w:semiHidden/>
    <w:rsid w:val="00CF34A6"/>
    <w:rPr>
      <w:rFonts w:ascii="Tahoma" w:hAnsi="Tahoma" w:cs="Tahoma"/>
      <w:sz w:val="16"/>
      <w:szCs w:val="16"/>
    </w:rPr>
  </w:style>
  <w:style w:type="paragraph" w:styleId="BodyText">
    <w:name w:val="Body Text"/>
    <w:basedOn w:val="Normal"/>
    <w:rsid w:val="0076442B"/>
    <w:rPr>
      <w:rFonts w:cs="Arial"/>
      <w:sz w:val="28"/>
      <w:szCs w:val="28"/>
    </w:rPr>
  </w:style>
  <w:style w:type="paragraph" w:styleId="Header">
    <w:name w:val="header"/>
    <w:basedOn w:val="Normal"/>
    <w:rsid w:val="005A4E26"/>
    <w:pPr>
      <w:tabs>
        <w:tab w:val="center" w:pos="4320"/>
        <w:tab w:val="right" w:pos="8640"/>
      </w:tabs>
    </w:pPr>
  </w:style>
  <w:style w:type="paragraph" w:styleId="Footer">
    <w:name w:val="footer"/>
    <w:basedOn w:val="Normal"/>
    <w:link w:val="FooterChar"/>
    <w:rsid w:val="005A4E26"/>
    <w:pPr>
      <w:tabs>
        <w:tab w:val="center" w:pos="4320"/>
        <w:tab w:val="right" w:pos="8640"/>
      </w:tabs>
    </w:pPr>
    <w:rPr>
      <w:lang w:val="x-none" w:eastAsia="x-none"/>
    </w:rPr>
  </w:style>
  <w:style w:type="character" w:styleId="PageNumber">
    <w:name w:val="page number"/>
    <w:basedOn w:val="DefaultParagraphFont"/>
    <w:rsid w:val="005A4E26"/>
  </w:style>
  <w:style w:type="paragraph" w:customStyle="1" w:styleId="xl27">
    <w:name w:val="xl27"/>
    <w:basedOn w:val="Normal"/>
    <w:rsid w:val="00EC1756"/>
    <w:pPr>
      <w:pBdr>
        <w:top w:val="single" w:sz="8" w:space="0" w:color="auto"/>
        <w:left w:val="single" w:sz="8" w:space="0" w:color="auto"/>
        <w:bottom w:val="single" w:sz="8" w:space="0" w:color="auto"/>
      </w:pBdr>
      <w:spacing w:before="100" w:beforeAutospacing="1" w:after="100" w:afterAutospacing="1"/>
    </w:pPr>
    <w:rPr>
      <w:rFonts w:ascii="Tahoma" w:hAnsi="Tahoma" w:cs="Tahoma"/>
      <w:b/>
      <w:bCs/>
    </w:rPr>
  </w:style>
  <w:style w:type="character" w:styleId="FollowedHyperlink">
    <w:name w:val="FollowedHyperlink"/>
    <w:rsid w:val="00EC1756"/>
    <w:rPr>
      <w:color w:val="800080"/>
      <w:u w:val="single"/>
    </w:rPr>
  </w:style>
  <w:style w:type="paragraph" w:customStyle="1" w:styleId="font0">
    <w:name w:val="font0"/>
    <w:basedOn w:val="Normal"/>
    <w:rsid w:val="00EC1756"/>
    <w:pPr>
      <w:spacing w:before="100" w:beforeAutospacing="1" w:after="100" w:afterAutospacing="1"/>
    </w:pPr>
    <w:rPr>
      <w:rFonts w:cs="Arial"/>
      <w:sz w:val="20"/>
      <w:szCs w:val="20"/>
    </w:rPr>
  </w:style>
  <w:style w:type="paragraph" w:customStyle="1" w:styleId="BodyText1">
    <w:name w:val="Body Text 1"/>
    <w:basedOn w:val="Normal"/>
    <w:rsid w:val="005922BE"/>
    <w:pPr>
      <w:tabs>
        <w:tab w:val="left" w:pos="720"/>
      </w:tabs>
      <w:spacing w:after="180"/>
    </w:pPr>
    <w:rPr>
      <w:szCs w:val="20"/>
    </w:rPr>
  </w:style>
  <w:style w:type="paragraph" w:styleId="BodyText2">
    <w:name w:val="Body Text 2"/>
    <w:basedOn w:val="Normal"/>
    <w:rsid w:val="005922BE"/>
    <w:pPr>
      <w:jc w:val="center"/>
    </w:pPr>
    <w:rPr>
      <w:b/>
      <w:sz w:val="34"/>
    </w:rPr>
  </w:style>
  <w:style w:type="table" w:styleId="TableGrid">
    <w:name w:val="Table Grid"/>
    <w:basedOn w:val="TableNormal"/>
    <w:rsid w:val="00A4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25BD9"/>
    <w:pPr>
      <w:tabs>
        <w:tab w:val="left" w:pos="162"/>
      </w:tabs>
      <w:ind w:left="252" w:hanging="270"/>
    </w:pPr>
    <w:rPr>
      <w:sz w:val="12"/>
      <w:szCs w:val="12"/>
    </w:rPr>
  </w:style>
  <w:style w:type="paragraph" w:styleId="BodyTextIndent2">
    <w:name w:val="Body Text Indent 2"/>
    <w:basedOn w:val="Normal"/>
    <w:rsid w:val="005E0C72"/>
    <w:pPr>
      <w:tabs>
        <w:tab w:val="left" w:pos="720"/>
      </w:tabs>
      <w:autoSpaceDE w:val="0"/>
      <w:autoSpaceDN w:val="0"/>
      <w:adjustRightInd w:val="0"/>
      <w:ind w:left="540" w:hanging="540"/>
    </w:pPr>
    <w:rPr>
      <w:rFonts w:cs="Arial"/>
      <w:szCs w:val="22"/>
    </w:rPr>
  </w:style>
  <w:style w:type="paragraph" w:customStyle="1" w:styleId="Document1">
    <w:name w:val="Document 1"/>
    <w:rsid w:val="00397F25"/>
    <w:pPr>
      <w:keepNext/>
      <w:keepLines/>
      <w:tabs>
        <w:tab w:val="left" w:pos="-720"/>
      </w:tabs>
      <w:suppressAutoHyphens/>
    </w:pPr>
    <w:rPr>
      <w:rFonts w:ascii="Swiss Roman 11pt" w:hAnsi="Swiss Roman 11pt"/>
      <w:sz w:val="22"/>
    </w:rPr>
  </w:style>
  <w:style w:type="paragraph" w:styleId="TOAHeading">
    <w:name w:val="toa heading"/>
    <w:basedOn w:val="Normal"/>
    <w:next w:val="Normal"/>
    <w:semiHidden/>
    <w:rsid w:val="00397F25"/>
    <w:pPr>
      <w:tabs>
        <w:tab w:val="left" w:pos="9000"/>
        <w:tab w:val="right" w:pos="9360"/>
      </w:tabs>
      <w:suppressAutoHyphens/>
    </w:pPr>
    <w:rPr>
      <w:sz w:val="20"/>
      <w:szCs w:val="20"/>
    </w:rPr>
  </w:style>
  <w:style w:type="paragraph" w:styleId="Title">
    <w:name w:val="Title"/>
    <w:basedOn w:val="Normal"/>
    <w:qFormat/>
    <w:rsid w:val="00CC5411"/>
    <w:pPr>
      <w:jc w:val="center"/>
    </w:pPr>
    <w:rPr>
      <w:smallCaps/>
      <w:sz w:val="28"/>
      <w:szCs w:val="20"/>
    </w:rPr>
  </w:style>
  <w:style w:type="paragraph" w:styleId="Subtitle">
    <w:name w:val="Subtitle"/>
    <w:basedOn w:val="Normal"/>
    <w:qFormat/>
    <w:rsid w:val="00CC5411"/>
    <w:pPr>
      <w:jc w:val="center"/>
    </w:pPr>
    <w:rPr>
      <w:b/>
      <w:sz w:val="28"/>
      <w:szCs w:val="20"/>
    </w:rPr>
  </w:style>
  <w:style w:type="paragraph" w:styleId="NormalWeb">
    <w:name w:val="Normal (Web)"/>
    <w:basedOn w:val="Normal"/>
    <w:uiPriority w:val="99"/>
    <w:rsid w:val="000224BF"/>
    <w:pPr>
      <w:spacing w:before="100" w:beforeAutospacing="1" w:after="100" w:afterAutospacing="1"/>
    </w:pPr>
    <w:rPr>
      <w:rFonts w:cs="Arial"/>
    </w:rPr>
  </w:style>
  <w:style w:type="character" w:customStyle="1" w:styleId="footerbold1">
    <w:name w:val="footerbold1"/>
    <w:rsid w:val="00783A52"/>
    <w:rPr>
      <w:rFonts w:ascii="Tahoma" w:hAnsi="Tahoma" w:cs="Tahoma" w:hint="default"/>
      <w:b/>
      <w:bCs/>
      <w:color w:val="FFFFFF"/>
      <w:sz w:val="16"/>
      <w:szCs w:val="16"/>
    </w:rPr>
  </w:style>
  <w:style w:type="paragraph" w:styleId="BodyTextIndent3">
    <w:name w:val="Body Text Indent 3"/>
    <w:basedOn w:val="Normal"/>
    <w:rsid w:val="005967F5"/>
    <w:pPr>
      <w:ind w:left="360" w:hanging="360"/>
      <w:jc w:val="both"/>
    </w:pPr>
    <w:rPr>
      <w:rFonts w:cs="Arial"/>
      <w:szCs w:val="22"/>
    </w:rPr>
  </w:style>
  <w:style w:type="character" w:styleId="CommentReference">
    <w:name w:val="annotation reference"/>
    <w:semiHidden/>
    <w:rsid w:val="00694283"/>
    <w:rPr>
      <w:sz w:val="16"/>
      <w:szCs w:val="16"/>
    </w:rPr>
  </w:style>
  <w:style w:type="paragraph" w:styleId="CommentText">
    <w:name w:val="annotation text"/>
    <w:basedOn w:val="Normal"/>
    <w:link w:val="CommentTextChar"/>
    <w:uiPriority w:val="99"/>
    <w:semiHidden/>
    <w:rsid w:val="00694283"/>
    <w:rPr>
      <w:sz w:val="20"/>
      <w:szCs w:val="20"/>
    </w:rPr>
  </w:style>
  <w:style w:type="paragraph" w:styleId="CommentSubject">
    <w:name w:val="annotation subject"/>
    <w:basedOn w:val="CommentText"/>
    <w:next w:val="CommentText"/>
    <w:semiHidden/>
    <w:rsid w:val="00694283"/>
    <w:rPr>
      <w:b/>
      <w:bCs/>
    </w:rPr>
  </w:style>
  <w:style w:type="character" w:styleId="Strong">
    <w:name w:val="Strong"/>
    <w:qFormat/>
    <w:rsid w:val="008A35BB"/>
    <w:rPr>
      <w:b/>
      <w:bCs/>
    </w:rPr>
  </w:style>
  <w:style w:type="character" w:customStyle="1" w:styleId="FooterChar">
    <w:name w:val="Footer Char"/>
    <w:link w:val="Footer"/>
    <w:uiPriority w:val="99"/>
    <w:rsid w:val="00AE122B"/>
    <w:rPr>
      <w:sz w:val="24"/>
      <w:szCs w:val="24"/>
    </w:rPr>
  </w:style>
  <w:style w:type="paragraph" w:customStyle="1" w:styleId="ColorfulList-Accent11">
    <w:name w:val="Colorful List - Accent 11"/>
    <w:basedOn w:val="Normal"/>
    <w:uiPriority w:val="34"/>
    <w:qFormat/>
    <w:rsid w:val="00FF53E0"/>
    <w:pPr>
      <w:ind w:left="720"/>
      <w:contextualSpacing/>
    </w:pPr>
  </w:style>
  <w:style w:type="paragraph" w:customStyle="1" w:styleId="Default">
    <w:name w:val="Default"/>
    <w:rsid w:val="00FF53E0"/>
    <w:pPr>
      <w:autoSpaceDE w:val="0"/>
      <w:autoSpaceDN w:val="0"/>
      <w:adjustRightInd w:val="0"/>
    </w:pPr>
    <w:rPr>
      <w:rFonts w:ascii="Arial" w:hAnsi="Arial" w:cs="Arial"/>
      <w:color w:val="000000"/>
      <w:sz w:val="24"/>
      <w:szCs w:val="24"/>
    </w:rPr>
  </w:style>
  <w:style w:type="character" w:customStyle="1" w:styleId="A01">
    <w:name w:val="A0+1"/>
    <w:uiPriority w:val="99"/>
    <w:rsid w:val="00441F66"/>
    <w:rPr>
      <w:rFonts w:ascii="Myriad Pro" w:hAnsi="Myriad Pro" w:hint="default"/>
      <w:b/>
      <w:bCs/>
      <w:color w:val="000000"/>
    </w:rPr>
  </w:style>
  <w:style w:type="paragraph" w:customStyle="1" w:styleId="ColorfulShading-Accent11">
    <w:name w:val="Colorful Shading - Accent 11"/>
    <w:hidden/>
    <w:uiPriority w:val="99"/>
    <w:semiHidden/>
    <w:rsid w:val="00892921"/>
    <w:rPr>
      <w:sz w:val="24"/>
      <w:szCs w:val="24"/>
    </w:rPr>
  </w:style>
  <w:style w:type="paragraph" w:styleId="ListParagraph">
    <w:name w:val="List Paragraph"/>
    <w:basedOn w:val="Normal"/>
    <w:uiPriority w:val="34"/>
    <w:qFormat/>
    <w:rsid w:val="00070BDE"/>
    <w:pPr>
      <w:ind w:left="720"/>
    </w:pPr>
  </w:style>
  <w:style w:type="paragraph" w:styleId="TOC1">
    <w:name w:val="toc 1"/>
    <w:basedOn w:val="Normal"/>
    <w:next w:val="Normal"/>
    <w:link w:val="TOC1Char"/>
    <w:autoRedefine/>
    <w:uiPriority w:val="39"/>
    <w:rsid w:val="00AC2C3E"/>
    <w:pPr>
      <w:tabs>
        <w:tab w:val="right" w:leader="dot" w:pos="9926"/>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3F5534"/>
    <w:pPr>
      <w:ind w:left="220"/>
    </w:pPr>
    <w:rPr>
      <w:rFonts w:asciiTheme="minorHAnsi" w:hAnsiTheme="minorHAnsi" w:cstheme="minorHAnsi"/>
      <w:smallCaps/>
      <w:sz w:val="20"/>
      <w:szCs w:val="20"/>
    </w:rPr>
  </w:style>
  <w:style w:type="paragraph" w:customStyle="1" w:styleId="TOC">
    <w:name w:val="TOC"/>
    <w:basedOn w:val="TOC1"/>
    <w:link w:val="TOCChar"/>
    <w:rsid w:val="00EB0AE7"/>
    <w:rPr>
      <w:rFonts w:cs="Arial"/>
    </w:rPr>
  </w:style>
  <w:style w:type="character" w:customStyle="1" w:styleId="li-text1">
    <w:name w:val="li-text1"/>
    <w:rsid w:val="00310DB2"/>
    <w:rPr>
      <w:color w:val="818181"/>
    </w:rPr>
  </w:style>
  <w:style w:type="character" w:customStyle="1" w:styleId="TOC1Char">
    <w:name w:val="TOC 1 Char"/>
    <w:link w:val="TOC1"/>
    <w:uiPriority w:val="39"/>
    <w:rsid w:val="00AC2C3E"/>
    <w:rPr>
      <w:rFonts w:asciiTheme="minorHAnsi" w:hAnsiTheme="minorHAnsi" w:cstheme="minorHAnsi"/>
      <w:b/>
      <w:bCs/>
      <w:caps/>
    </w:rPr>
  </w:style>
  <w:style w:type="character" w:customStyle="1" w:styleId="TOCChar">
    <w:name w:val="TOC Char"/>
    <w:link w:val="TOC"/>
    <w:rsid w:val="00EB0AE7"/>
    <w:rPr>
      <w:rFonts w:ascii="Arial" w:hAnsi="Arial" w:cs="Arial"/>
      <w:sz w:val="24"/>
      <w:szCs w:val="24"/>
    </w:rPr>
  </w:style>
  <w:style w:type="character" w:customStyle="1" w:styleId="CommentTextChar">
    <w:name w:val="Comment Text Char"/>
    <w:link w:val="CommentText"/>
    <w:uiPriority w:val="99"/>
    <w:semiHidden/>
    <w:rsid w:val="00856517"/>
  </w:style>
  <w:style w:type="paragraph" w:styleId="Revision">
    <w:name w:val="Revision"/>
    <w:hidden/>
    <w:uiPriority w:val="99"/>
    <w:semiHidden/>
    <w:rsid w:val="00671543"/>
    <w:rPr>
      <w:sz w:val="24"/>
      <w:szCs w:val="24"/>
    </w:rPr>
  </w:style>
  <w:style w:type="paragraph" w:customStyle="1" w:styleId="5Arial20BOLD">
    <w:name w:val="5. Arial 20 BOLD"/>
    <w:aliases w:val="CENTERED"/>
    <w:basedOn w:val="Heading1"/>
    <w:qFormat/>
    <w:rsid w:val="00EA452F"/>
  </w:style>
  <w:style w:type="paragraph" w:customStyle="1" w:styleId="1Arial11BODY">
    <w:name w:val="1. Arial 11 BODY"/>
    <w:basedOn w:val="Default"/>
    <w:qFormat/>
    <w:rsid w:val="003B621D"/>
    <w:pPr>
      <w:spacing w:line="280" w:lineRule="exact"/>
      <w:jc w:val="both"/>
    </w:pPr>
    <w:rPr>
      <w:color w:val="auto"/>
      <w:sz w:val="22"/>
      <w:szCs w:val="22"/>
    </w:rPr>
  </w:style>
  <w:style w:type="paragraph" w:customStyle="1" w:styleId="2BULLETArial11">
    <w:name w:val="2. • BULLET Arial 11"/>
    <w:basedOn w:val="Default"/>
    <w:qFormat/>
    <w:rsid w:val="000D17EA"/>
    <w:pPr>
      <w:numPr>
        <w:numId w:val="3"/>
      </w:numPr>
      <w:spacing w:line="280" w:lineRule="exact"/>
    </w:pPr>
    <w:rPr>
      <w:iCs/>
      <w:color w:val="auto"/>
      <w:sz w:val="22"/>
      <w:szCs w:val="22"/>
    </w:rPr>
  </w:style>
  <w:style w:type="paragraph" w:customStyle="1" w:styleId="3BOLDArial11">
    <w:name w:val="3. BOLD Arial 11"/>
    <w:basedOn w:val="Normal"/>
    <w:qFormat/>
    <w:rsid w:val="001D3A95"/>
    <w:pPr>
      <w:spacing w:line="280" w:lineRule="exact"/>
    </w:pPr>
    <w:rPr>
      <w:rFonts w:cs="Arial"/>
      <w:b/>
      <w:szCs w:val="22"/>
    </w:rPr>
  </w:style>
  <w:style w:type="character" w:styleId="UnresolvedMention">
    <w:name w:val="Unresolved Mention"/>
    <w:uiPriority w:val="99"/>
    <w:semiHidden/>
    <w:unhideWhenUsed/>
    <w:rsid w:val="00B35563"/>
    <w:rPr>
      <w:color w:val="605E5C"/>
      <w:shd w:val="clear" w:color="auto" w:fill="E1DFDD"/>
    </w:rPr>
  </w:style>
  <w:style w:type="paragraph" w:customStyle="1" w:styleId="3Bulletedlist">
    <w:name w:val="3. • Bulleted list"/>
    <w:basedOn w:val="ListParagraph"/>
    <w:qFormat/>
    <w:rsid w:val="006C5BFE"/>
    <w:pPr>
      <w:spacing w:after="200" w:line="276" w:lineRule="auto"/>
      <w:ind w:left="0"/>
      <w:contextualSpacing/>
    </w:pPr>
    <w:rPr>
      <w:rFonts w:cs="Arial"/>
      <w:szCs w:val="22"/>
    </w:rPr>
  </w:style>
  <w:style w:type="paragraph" w:customStyle="1" w:styleId="1BODY-Arial11justified">
    <w:name w:val="1. BODY-Arial 11 justified"/>
    <w:basedOn w:val="Normal"/>
    <w:qFormat/>
    <w:rsid w:val="000809AC"/>
    <w:pPr>
      <w:shd w:val="clear" w:color="auto" w:fill="FFFFFF"/>
      <w:spacing w:line="280" w:lineRule="exact"/>
      <w:jc w:val="both"/>
    </w:pPr>
    <w:rPr>
      <w:rFonts w:cs="Arial"/>
      <w:color w:val="000000"/>
      <w:szCs w:val="22"/>
      <w:lang w:val="en"/>
    </w:rPr>
  </w:style>
  <w:style w:type="paragraph" w:customStyle="1" w:styleId="1BODY-Arial11">
    <w:name w:val="1. BODY-Arial 11"/>
    <w:basedOn w:val="Normal"/>
    <w:autoRedefine/>
    <w:qFormat/>
    <w:rsid w:val="0005222F"/>
    <w:pPr>
      <w:keepNext/>
      <w:spacing w:line="280" w:lineRule="exact"/>
      <w:jc w:val="both"/>
    </w:pPr>
    <w:rPr>
      <w:rFonts w:cs="Arial"/>
      <w:bCs/>
      <w:color w:val="000000"/>
      <w:szCs w:val="22"/>
    </w:rPr>
  </w:style>
  <w:style w:type="paragraph" w:customStyle="1" w:styleId="4ArialBold14">
    <w:name w:val="4. Arial Bold 14"/>
    <w:basedOn w:val="Heading2"/>
    <w:qFormat/>
    <w:rsid w:val="009E428C"/>
    <w:rPr>
      <w:rFonts w:cs="Times New Roman"/>
      <w:szCs w:val="20"/>
    </w:rPr>
  </w:style>
  <w:style w:type="paragraph" w:styleId="TOC3">
    <w:name w:val="toc 3"/>
    <w:basedOn w:val="Normal"/>
    <w:next w:val="Normal"/>
    <w:autoRedefine/>
    <w:rsid w:val="006A09C9"/>
    <w:pPr>
      <w:ind w:left="440"/>
    </w:pPr>
    <w:rPr>
      <w:rFonts w:asciiTheme="minorHAnsi" w:hAnsiTheme="minorHAnsi" w:cstheme="minorHAnsi"/>
      <w:i/>
      <w:iCs/>
      <w:sz w:val="20"/>
      <w:szCs w:val="20"/>
    </w:rPr>
  </w:style>
  <w:style w:type="paragraph" w:styleId="TOC4">
    <w:name w:val="toc 4"/>
    <w:basedOn w:val="Normal"/>
    <w:next w:val="Normal"/>
    <w:autoRedefine/>
    <w:rsid w:val="006A09C9"/>
    <w:pPr>
      <w:ind w:left="660"/>
    </w:pPr>
    <w:rPr>
      <w:rFonts w:asciiTheme="minorHAnsi" w:hAnsiTheme="minorHAnsi" w:cstheme="minorHAnsi"/>
      <w:sz w:val="18"/>
      <w:szCs w:val="18"/>
    </w:rPr>
  </w:style>
  <w:style w:type="paragraph" w:styleId="TOC5">
    <w:name w:val="toc 5"/>
    <w:basedOn w:val="Normal"/>
    <w:next w:val="Normal"/>
    <w:autoRedefine/>
    <w:rsid w:val="006A09C9"/>
    <w:pPr>
      <w:ind w:left="880"/>
    </w:pPr>
    <w:rPr>
      <w:rFonts w:asciiTheme="minorHAnsi" w:hAnsiTheme="minorHAnsi" w:cstheme="minorHAnsi"/>
      <w:sz w:val="18"/>
      <w:szCs w:val="18"/>
    </w:rPr>
  </w:style>
  <w:style w:type="paragraph" w:styleId="TOC6">
    <w:name w:val="toc 6"/>
    <w:basedOn w:val="Normal"/>
    <w:next w:val="Normal"/>
    <w:autoRedefine/>
    <w:rsid w:val="006A09C9"/>
    <w:pPr>
      <w:ind w:left="1100"/>
    </w:pPr>
    <w:rPr>
      <w:rFonts w:asciiTheme="minorHAnsi" w:hAnsiTheme="minorHAnsi" w:cstheme="minorHAnsi"/>
      <w:sz w:val="18"/>
      <w:szCs w:val="18"/>
    </w:rPr>
  </w:style>
  <w:style w:type="paragraph" w:styleId="TOC7">
    <w:name w:val="toc 7"/>
    <w:basedOn w:val="Normal"/>
    <w:next w:val="Normal"/>
    <w:autoRedefine/>
    <w:rsid w:val="006A09C9"/>
    <w:pPr>
      <w:ind w:left="1320"/>
    </w:pPr>
    <w:rPr>
      <w:rFonts w:asciiTheme="minorHAnsi" w:hAnsiTheme="minorHAnsi" w:cstheme="minorHAnsi"/>
      <w:sz w:val="18"/>
      <w:szCs w:val="18"/>
    </w:rPr>
  </w:style>
  <w:style w:type="paragraph" w:styleId="TOC8">
    <w:name w:val="toc 8"/>
    <w:basedOn w:val="Normal"/>
    <w:next w:val="Normal"/>
    <w:autoRedefine/>
    <w:rsid w:val="006A09C9"/>
    <w:pPr>
      <w:ind w:left="1540"/>
    </w:pPr>
    <w:rPr>
      <w:rFonts w:asciiTheme="minorHAnsi" w:hAnsiTheme="minorHAnsi" w:cstheme="minorHAnsi"/>
      <w:sz w:val="18"/>
      <w:szCs w:val="18"/>
    </w:rPr>
  </w:style>
  <w:style w:type="paragraph" w:styleId="TOC9">
    <w:name w:val="toc 9"/>
    <w:basedOn w:val="Normal"/>
    <w:next w:val="Normal"/>
    <w:autoRedefine/>
    <w:rsid w:val="006A09C9"/>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51472">
      <w:bodyDiv w:val="1"/>
      <w:marLeft w:val="0"/>
      <w:marRight w:val="0"/>
      <w:marTop w:val="0"/>
      <w:marBottom w:val="0"/>
      <w:divBdr>
        <w:top w:val="none" w:sz="0" w:space="0" w:color="auto"/>
        <w:left w:val="none" w:sz="0" w:space="0" w:color="auto"/>
        <w:bottom w:val="none" w:sz="0" w:space="0" w:color="auto"/>
        <w:right w:val="none" w:sz="0" w:space="0" w:color="auto"/>
      </w:divBdr>
    </w:div>
    <w:div w:id="99952983">
      <w:bodyDiv w:val="1"/>
      <w:marLeft w:val="0"/>
      <w:marRight w:val="0"/>
      <w:marTop w:val="0"/>
      <w:marBottom w:val="0"/>
      <w:divBdr>
        <w:top w:val="none" w:sz="0" w:space="0" w:color="auto"/>
        <w:left w:val="none" w:sz="0" w:space="0" w:color="auto"/>
        <w:bottom w:val="none" w:sz="0" w:space="0" w:color="auto"/>
        <w:right w:val="none" w:sz="0" w:space="0" w:color="auto"/>
      </w:divBdr>
    </w:div>
    <w:div w:id="176041051">
      <w:bodyDiv w:val="1"/>
      <w:marLeft w:val="0"/>
      <w:marRight w:val="0"/>
      <w:marTop w:val="0"/>
      <w:marBottom w:val="0"/>
      <w:divBdr>
        <w:top w:val="none" w:sz="0" w:space="0" w:color="auto"/>
        <w:left w:val="none" w:sz="0" w:space="0" w:color="auto"/>
        <w:bottom w:val="none" w:sz="0" w:space="0" w:color="auto"/>
        <w:right w:val="none" w:sz="0" w:space="0" w:color="auto"/>
      </w:divBdr>
    </w:div>
    <w:div w:id="259723016">
      <w:bodyDiv w:val="1"/>
      <w:marLeft w:val="0"/>
      <w:marRight w:val="0"/>
      <w:marTop w:val="0"/>
      <w:marBottom w:val="0"/>
      <w:divBdr>
        <w:top w:val="none" w:sz="0" w:space="0" w:color="auto"/>
        <w:left w:val="none" w:sz="0" w:space="0" w:color="auto"/>
        <w:bottom w:val="none" w:sz="0" w:space="0" w:color="auto"/>
        <w:right w:val="none" w:sz="0" w:space="0" w:color="auto"/>
      </w:divBdr>
    </w:div>
    <w:div w:id="263995759">
      <w:bodyDiv w:val="1"/>
      <w:marLeft w:val="0"/>
      <w:marRight w:val="0"/>
      <w:marTop w:val="0"/>
      <w:marBottom w:val="0"/>
      <w:divBdr>
        <w:top w:val="none" w:sz="0" w:space="0" w:color="auto"/>
        <w:left w:val="none" w:sz="0" w:space="0" w:color="auto"/>
        <w:bottom w:val="none" w:sz="0" w:space="0" w:color="auto"/>
        <w:right w:val="none" w:sz="0" w:space="0" w:color="auto"/>
      </w:divBdr>
    </w:div>
    <w:div w:id="294142165">
      <w:bodyDiv w:val="1"/>
      <w:marLeft w:val="0"/>
      <w:marRight w:val="0"/>
      <w:marTop w:val="0"/>
      <w:marBottom w:val="0"/>
      <w:divBdr>
        <w:top w:val="none" w:sz="0" w:space="0" w:color="auto"/>
        <w:left w:val="none" w:sz="0" w:space="0" w:color="auto"/>
        <w:bottom w:val="none" w:sz="0" w:space="0" w:color="auto"/>
        <w:right w:val="none" w:sz="0" w:space="0" w:color="auto"/>
      </w:divBdr>
      <w:divsChild>
        <w:div w:id="743333745">
          <w:marLeft w:val="0"/>
          <w:marRight w:val="0"/>
          <w:marTop w:val="0"/>
          <w:marBottom w:val="0"/>
          <w:divBdr>
            <w:top w:val="none" w:sz="0" w:space="0" w:color="auto"/>
            <w:left w:val="none" w:sz="0" w:space="0" w:color="auto"/>
            <w:bottom w:val="none" w:sz="0" w:space="0" w:color="auto"/>
            <w:right w:val="none" w:sz="0" w:space="0" w:color="auto"/>
          </w:divBdr>
        </w:div>
      </w:divsChild>
    </w:div>
    <w:div w:id="580258794">
      <w:bodyDiv w:val="1"/>
      <w:marLeft w:val="0"/>
      <w:marRight w:val="0"/>
      <w:marTop w:val="0"/>
      <w:marBottom w:val="0"/>
      <w:divBdr>
        <w:top w:val="none" w:sz="0" w:space="0" w:color="auto"/>
        <w:left w:val="none" w:sz="0" w:space="0" w:color="auto"/>
        <w:bottom w:val="none" w:sz="0" w:space="0" w:color="auto"/>
        <w:right w:val="none" w:sz="0" w:space="0" w:color="auto"/>
      </w:divBdr>
    </w:div>
    <w:div w:id="591745987">
      <w:bodyDiv w:val="1"/>
      <w:marLeft w:val="0"/>
      <w:marRight w:val="0"/>
      <w:marTop w:val="0"/>
      <w:marBottom w:val="0"/>
      <w:divBdr>
        <w:top w:val="none" w:sz="0" w:space="0" w:color="auto"/>
        <w:left w:val="none" w:sz="0" w:space="0" w:color="auto"/>
        <w:bottom w:val="none" w:sz="0" w:space="0" w:color="auto"/>
        <w:right w:val="none" w:sz="0" w:space="0" w:color="auto"/>
      </w:divBdr>
    </w:div>
    <w:div w:id="678242628">
      <w:bodyDiv w:val="1"/>
      <w:marLeft w:val="0"/>
      <w:marRight w:val="0"/>
      <w:marTop w:val="0"/>
      <w:marBottom w:val="0"/>
      <w:divBdr>
        <w:top w:val="none" w:sz="0" w:space="0" w:color="auto"/>
        <w:left w:val="none" w:sz="0" w:space="0" w:color="auto"/>
        <w:bottom w:val="none" w:sz="0" w:space="0" w:color="auto"/>
        <w:right w:val="none" w:sz="0" w:space="0" w:color="auto"/>
      </w:divBdr>
      <w:divsChild>
        <w:div w:id="1106655737">
          <w:marLeft w:val="0"/>
          <w:marRight w:val="0"/>
          <w:marTop w:val="0"/>
          <w:marBottom w:val="0"/>
          <w:divBdr>
            <w:top w:val="none" w:sz="0" w:space="0" w:color="auto"/>
            <w:left w:val="none" w:sz="0" w:space="0" w:color="auto"/>
            <w:bottom w:val="none" w:sz="0" w:space="0" w:color="auto"/>
            <w:right w:val="none" w:sz="0" w:space="0" w:color="auto"/>
          </w:divBdr>
        </w:div>
      </w:divsChild>
    </w:div>
    <w:div w:id="726101690">
      <w:bodyDiv w:val="1"/>
      <w:marLeft w:val="0"/>
      <w:marRight w:val="0"/>
      <w:marTop w:val="0"/>
      <w:marBottom w:val="0"/>
      <w:divBdr>
        <w:top w:val="none" w:sz="0" w:space="0" w:color="auto"/>
        <w:left w:val="none" w:sz="0" w:space="0" w:color="auto"/>
        <w:bottom w:val="none" w:sz="0" w:space="0" w:color="auto"/>
        <w:right w:val="none" w:sz="0" w:space="0" w:color="auto"/>
      </w:divBdr>
    </w:div>
    <w:div w:id="747730704">
      <w:bodyDiv w:val="1"/>
      <w:marLeft w:val="0"/>
      <w:marRight w:val="0"/>
      <w:marTop w:val="0"/>
      <w:marBottom w:val="0"/>
      <w:divBdr>
        <w:top w:val="none" w:sz="0" w:space="0" w:color="auto"/>
        <w:left w:val="none" w:sz="0" w:space="0" w:color="auto"/>
        <w:bottom w:val="none" w:sz="0" w:space="0" w:color="auto"/>
        <w:right w:val="none" w:sz="0" w:space="0" w:color="auto"/>
      </w:divBdr>
    </w:div>
    <w:div w:id="765728460">
      <w:bodyDiv w:val="1"/>
      <w:marLeft w:val="0"/>
      <w:marRight w:val="0"/>
      <w:marTop w:val="0"/>
      <w:marBottom w:val="0"/>
      <w:divBdr>
        <w:top w:val="none" w:sz="0" w:space="0" w:color="auto"/>
        <w:left w:val="none" w:sz="0" w:space="0" w:color="auto"/>
        <w:bottom w:val="none" w:sz="0" w:space="0" w:color="auto"/>
        <w:right w:val="none" w:sz="0" w:space="0" w:color="auto"/>
      </w:divBdr>
    </w:div>
    <w:div w:id="767769993">
      <w:bodyDiv w:val="1"/>
      <w:marLeft w:val="0"/>
      <w:marRight w:val="0"/>
      <w:marTop w:val="0"/>
      <w:marBottom w:val="0"/>
      <w:divBdr>
        <w:top w:val="none" w:sz="0" w:space="0" w:color="auto"/>
        <w:left w:val="none" w:sz="0" w:space="0" w:color="auto"/>
        <w:bottom w:val="none" w:sz="0" w:space="0" w:color="auto"/>
        <w:right w:val="none" w:sz="0" w:space="0" w:color="auto"/>
      </w:divBdr>
    </w:div>
    <w:div w:id="773552519">
      <w:bodyDiv w:val="1"/>
      <w:marLeft w:val="0"/>
      <w:marRight w:val="0"/>
      <w:marTop w:val="0"/>
      <w:marBottom w:val="0"/>
      <w:divBdr>
        <w:top w:val="none" w:sz="0" w:space="0" w:color="auto"/>
        <w:left w:val="none" w:sz="0" w:space="0" w:color="auto"/>
        <w:bottom w:val="none" w:sz="0" w:space="0" w:color="auto"/>
        <w:right w:val="none" w:sz="0" w:space="0" w:color="auto"/>
      </w:divBdr>
    </w:div>
    <w:div w:id="830370844">
      <w:bodyDiv w:val="1"/>
      <w:marLeft w:val="0"/>
      <w:marRight w:val="0"/>
      <w:marTop w:val="0"/>
      <w:marBottom w:val="0"/>
      <w:divBdr>
        <w:top w:val="none" w:sz="0" w:space="0" w:color="auto"/>
        <w:left w:val="none" w:sz="0" w:space="0" w:color="auto"/>
        <w:bottom w:val="none" w:sz="0" w:space="0" w:color="auto"/>
        <w:right w:val="none" w:sz="0" w:space="0" w:color="auto"/>
      </w:divBdr>
    </w:div>
    <w:div w:id="1030371811">
      <w:bodyDiv w:val="1"/>
      <w:marLeft w:val="0"/>
      <w:marRight w:val="0"/>
      <w:marTop w:val="0"/>
      <w:marBottom w:val="0"/>
      <w:divBdr>
        <w:top w:val="none" w:sz="0" w:space="0" w:color="auto"/>
        <w:left w:val="none" w:sz="0" w:space="0" w:color="auto"/>
        <w:bottom w:val="none" w:sz="0" w:space="0" w:color="auto"/>
        <w:right w:val="none" w:sz="0" w:space="0" w:color="auto"/>
      </w:divBdr>
    </w:div>
    <w:div w:id="1061516139">
      <w:bodyDiv w:val="1"/>
      <w:marLeft w:val="0"/>
      <w:marRight w:val="0"/>
      <w:marTop w:val="0"/>
      <w:marBottom w:val="0"/>
      <w:divBdr>
        <w:top w:val="none" w:sz="0" w:space="0" w:color="auto"/>
        <w:left w:val="none" w:sz="0" w:space="0" w:color="auto"/>
        <w:bottom w:val="none" w:sz="0" w:space="0" w:color="auto"/>
        <w:right w:val="none" w:sz="0" w:space="0" w:color="auto"/>
      </w:divBdr>
    </w:div>
    <w:div w:id="1125196398">
      <w:bodyDiv w:val="1"/>
      <w:marLeft w:val="0"/>
      <w:marRight w:val="0"/>
      <w:marTop w:val="0"/>
      <w:marBottom w:val="0"/>
      <w:divBdr>
        <w:top w:val="none" w:sz="0" w:space="0" w:color="auto"/>
        <w:left w:val="none" w:sz="0" w:space="0" w:color="auto"/>
        <w:bottom w:val="none" w:sz="0" w:space="0" w:color="auto"/>
        <w:right w:val="none" w:sz="0" w:space="0" w:color="auto"/>
      </w:divBdr>
    </w:div>
    <w:div w:id="1207840896">
      <w:bodyDiv w:val="1"/>
      <w:marLeft w:val="0"/>
      <w:marRight w:val="0"/>
      <w:marTop w:val="0"/>
      <w:marBottom w:val="0"/>
      <w:divBdr>
        <w:top w:val="none" w:sz="0" w:space="0" w:color="auto"/>
        <w:left w:val="none" w:sz="0" w:space="0" w:color="auto"/>
        <w:bottom w:val="none" w:sz="0" w:space="0" w:color="auto"/>
        <w:right w:val="none" w:sz="0" w:space="0" w:color="auto"/>
      </w:divBdr>
    </w:div>
    <w:div w:id="1528103299">
      <w:bodyDiv w:val="1"/>
      <w:marLeft w:val="0"/>
      <w:marRight w:val="0"/>
      <w:marTop w:val="0"/>
      <w:marBottom w:val="0"/>
      <w:divBdr>
        <w:top w:val="none" w:sz="0" w:space="0" w:color="auto"/>
        <w:left w:val="none" w:sz="0" w:space="0" w:color="auto"/>
        <w:bottom w:val="none" w:sz="0" w:space="0" w:color="auto"/>
        <w:right w:val="none" w:sz="0" w:space="0" w:color="auto"/>
      </w:divBdr>
    </w:div>
    <w:div w:id="1671519776">
      <w:bodyDiv w:val="1"/>
      <w:marLeft w:val="0"/>
      <w:marRight w:val="0"/>
      <w:marTop w:val="0"/>
      <w:marBottom w:val="0"/>
      <w:divBdr>
        <w:top w:val="none" w:sz="0" w:space="0" w:color="auto"/>
        <w:left w:val="none" w:sz="0" w:space="0" w:color="auto"/>
        <w:bottom w:val="none" w:sz="0" w:space="0" w:color="auto"/>
        <w:right w:val="none" w:sz="0" w:space="0" w:color="auto"/>
      </w:divBdr>
    </w:div>
    <w:div w:id="1772435641">
      <w:bodyDiv w:val="1"/>
      <w:marLeft w:val="0"/>
      <w:marRight w:val="0"/>
      <w:marTop w:val="0"/>
      <w:marBottom w:val="0"/>
      <w:divBdr>
        <w:top w:val="none" w:sz="0" w:space="0" w:color="auto"/>
        <w:left w:val="none" w:sz="0" w:space="0" w:color="auto"/>
        <w:bottom w:val="none" w:sz="0" w:space="0" w:color="auto"/>
        <w:right w:val="none" w:sz="0" w:space="0" w:color="auto"/>
      </w:divBdr>
    </w:div>
    <w:div w:id="1840581085">
      <w:bodyDiv w:val="1"/>
      <w:marLeft w:val="0"/>
      <w:marRight w:val="0"/>
      <w:marTop w:val="0"/>
      <w:marBottom w:val="0"/>
      <w:divBdr>
        <w:top w:val="none" w:sz="0" w:space="0" w:color="auto"/>
        <w:left w:val="none" w:sz="0" w:space="0" w:color="auto"/>
        <w:bottom w:val="none" w:sz="0" w:space="0" w:color="auto"/>
        <w:right w:val="none" w:sz="0" w:space="0" w:color="auto"/>
      </w:divBdr>
    </w:div>
    <w:div w:id="1906601667">
      <w:bodyDiv w:val="1"/>
      <w:marLeft w:val="0"/>
      <w:marRight w:val="0"/>
      <w:marTop w:val="0"/>
      <w:marBottom w:val="0"/>
      <w:divBdr>
        <w:top w:val="none" w:sz="0" w:space="0" w:color="auto"/>
        <w:left w:val="none" w:sz="0" w:space="0" w:color="auto"/>
        <w:bottom w:val="none" w:sz="0" w:space="0" w:color="auto"/>
        <w:right w:val="none" w:sz="0" w:space="0" w:color="auto"/>
      </w:divBdr>
    </w:div>
    <w:div w:id="1920405792">
      <w:bodyDiv w:val="1"/>
      <w:marLeft w:val="0"/>
      <w:marRight w:val="0"/>
      <w:marTop w:val="0"/>
      <w:marBottom w:val="0"/>
      <w:divBdr>
        <w:top w:val="none" w:sz="0" w:space="0" w:color="auto"/>
        <w:left w:val="none" w:sz="0" w:space="0" w:color="auto"/>
        <w:bottom w:val="none" w:sz="0" w:space="0" w:color="auto"/>
        <w:right w:val="none" w:sz="0" w:space="0" w:color="auto"/>
      </w:divBdr>
    </w:div>
    <w:div w:id="1943875018">
      <w:bodyDiv w:val="1"/>
      <w:marLeft w:val="0"/>
      <w:marRight w:val="0"/>
      <w:marTop w:val="0"/>
      <w:marBottom w:val="0"/>
      <w:divBdr>
        <w:top w:val="none" w:sz="0" w:space="0" w:color="auto"/>
        <w:left w:val="none" w:sz="0" w:space="0" w:color="auto"/>
        <w:bottom w:val="none" w:sz="0" w:space="0" w:color="auto"/>
        <w:right w:val="none" w:sz="0" w:space="0" w:color="auto"/>
      </w:divBdr>
    </w:div>
    <w:div w:id="1957635402">
      <w:bodyDiv w:val="1"/>
      <w:marLeft w:val="0"/>
      <w:marRight w:val="0"/>
      <w:marTop w:val="0"/>
      <w:marBottom w:val="0"/>
      <w:divBdr>
        <w:top w:val="none" w:sz="0" w:space="0" w:color="auto"/>
        <w:left w:val="none" w:sz="0" w:space="0" w:color="auto"/>
        <w:bottom w:val="none" w:sz="0" w:space="0" w:color="auto"/>
        <w:right w:val="none" w:sz="0" w:space="0" w:color="auto"/>
      </w:divBdr>
    </w:div>
    <w:div w:id="19948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statutes.legis.state.tx.us/Docs/HS/htm/HS.366.htm" TargetMode="External"/><Relationship Id="rId2" Type="http://schemas.openxmlformats.org/officeDocument/2006/relationships/customXml" Target="../customXml/item2.xml"/><Relationship Id="rId16" Type="http://schemas.openxmlformats.org/officeDocument/2006/relationships/hyperlink" Target="https://texreg.sos.state.tx.us/public/readtac$ext.ViewTAC?tac_view=5&amp;ti=30&amp;pt=1&amp;ch=285&amp;sch=D&amp;r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texreg.sos.state.tx.us/public/readtac$ext.ViewTAC?tac_view=5&amp;ti=30&amp;pt=1&amp;ch=285&amp;sch=A&amp;rl=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BE50-25FC-4741-9F22-5CD9799A1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1D2FA-0ED0-4EBA-B93A-17741088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86A83-DA76-4C4B-8057-EE5F3FF6A5BF}">
  <ds:schemaRefs>
    <ds:schemaRef ds:uri="http://schemas.microsoft.com/sharepoint/v3/contenttype/forms"/>
  </ds:schemaRefs>
</ds:datastoreItem>
</file>

<file path=customXml/itemProps4.xml><?xml version="1.0" encoding="utf-8"?>
<ds:datastoreItem xmlns:ds="http://schemas.openxmlformats.org/officeDocument/2006/customXml" ds:itemID="{03043377-C308-4ED7-87A2-CD0C7883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5831</Words>
  <Characters>35923</Characters>
  <Application>Microsoft Office Word</Application>
  <DocSecurity>0</DocSecurity>
  <Lines>997</Lines>
  <Paragraphs>426</Paragraphs>
  <ScaleCrop>false</ScaleCrop>
  <HeadingPairs>
    <vt:vector size="2" baseType="variant">
      <vt:variant>
        <vt:lpstr>Title</vt:lpstr>
      </vt:variant>
      <vt:variant>
        <vt:i4>1</vt:i4>
      </vt:variant>
    </vt:vector>
  </HeadingPairs>
  <TitlesOfParts>
    <vt:vector size="1" baseType="lpstr">
      <vt:lpstr>Housing Rehabilitation</vt:lpstr>
    </vt:vector>
  </TitlesOfParts>
  <Company>ORCA</Company>
  <LinksUpToDate>false</LinksUpToDate>
  <CharactersWithSpaces>41328</CharactersWithSpaces>
  <SharedDoc>false</SharedDoc>
  <HLinks>
    <vt:vector size="108" baseType="variant">
      <vt:variant>
        <vt:i4>5898245</vt:i4>
      </vt:variant>
      <vt:variant>
        <vt:i4>99</vt:i4>
      </vt:variant>
      <vt:variant>
        <vt:i4>0</vt:i4>
      </vt:variant>
      <vt:variant>
        <vt:i4>5</vt:i4>
      </vt:variant>
      <vt:variant>
        <vt:lpwstr>http://www.statutes.legis.state.tx.us/Docs/HS/htm/HS.366.htm</vt:lpwstr>
      </vt:variant>
      <vt:variant>
        <vt:lpwstr/>
      </vt:variant>
      <vt:variant>
        <vt:i4>6357075</vt:i4>
      </vt:variant>
      <vt:variant>
        <vt:i4>96</vt:i4>
      </vt:variant>
      <vt:variant>
        <vt:i4>0</vt:i4>
      </vt:variant>
      <vt:variant>
        <vt:i4>5</vt:i4>
      </vt:variant>
      <vt:variant>
        <vt:lpwstr>https://texreg.sos.state.tx.us/public/readtac$ext.ViewTAC?tac_view=5&amp;ti=30&amp;pt=1&amp;ch=285&amp;sch=D&amp;rl=Y</vt:lpwstr>
      </vt:variant>
      <vt:variant>
        <vt:lpwstr/>
      </vt:variant>
      <vt:variant>
        <vt:i4>6553683</vt:i4>
      </vt:variant>
      <vt:variant>
        <vt:i4>93</vt:i4>
      </vt:variant>
      <vt:variant>
        <vt:i4>0</vt:i4>
      </vt:variant>
      <vt:variant>
        <vt:i4>5</vt:i4>
      </vt:variant>
      <vt:variant>
        <vt:lpwstr>https://texreg.sos.state.tx.us/public/readtac$ext.ViewTAC?tac_view=5&amp;ti=30&amp;pt=1&amp;ch=285&amp;sch=A&amp;rl=Y</vt:lpwstr>
      </vt:variant>
      <vt:variant>
        <vt:lpwstr/>
      </vt:variant>
      <vt:variant>
        <vt:i4>1966140</vt:i4>
      </vt:variant>
      <vt:variant>
        <vt:i4>86</vt:i4>
      </vt:variant>
      <vt:variant>
        <vt:i4>0</vt:i4>
      </vt:variant>
      <vt:variant>
        <vt:i4>5</vt:i4>
      </vt:variant>
      <vt:variant>
        <vt:lpwstr/>
      </vt:variant>
      <vt:variant>
        <vt:lpwstr>_Toc97767058</vt:lpwstr>
      </vt:variant>
      <vt:variant>
        <vt:i4>1114172</vt:i4>
      </vt:variant>
      <vt:variant>
        <vt:i4>80</vt:i4>
      </vt:variant>
      <vt:variant>
        <vt:i4>0</vt:i4>
      </vt:variant>
      <vt:variant>
        <vt:i4>5</vt:i4>
      </vt:variant>
      <vt:variant>
        <vt:lpwstr/>
      </vt:variant>
      <vt:variant>
        <vt:lpwstr>_Toc97767057</vt:lpwstr>
      </vt:variant>
      <vt:variant>
        <vt:i4>1048636</vt:i4>
      </vt:variant>
      <vt:variant>
        <vt:i4>74</vt:i4>
      </vt:variant>
      <vt:variant>
        <vt:i4>0</vt:i4>
      </vt:variant>
      <vt:variant>
        <vt:i4>5</vt:i4>
      </vt:variant>
      <vt:variant>
        <vt:lpwstr/>
      </vt:variant>
      <vt:variant>
        <vt:lpwstr>_Toc97767056</vt:lpwstr>
      </vt:variant>
      <vt:variant>
        <vt:i4>1245244</vt:i4>
      </vt:variant>
      <vt:variant>
        <vt:i4>68</vt:i4>
      </vt:variant>
      <vt:variant>
        <vt:i4>0</vt:i4>
      </vt:variant>
      <vt:variant>
        <vt:i4>5</vt:i4>
      </vt:variant>
      <vt:variant>
        <vt:lpwstr/>
      </vt:variant>
      <vt:variant>
        <vt:lpwstr>_Toc97767055</vt:lpwstr>
      </vt:variant>
      <vt:variant>
        <vt:i4>1179708</vt:i4>
      </vt:variant>
      <vt:variant>
        <vt:i4>62</vt:i4>
      </vt:variant>
      <vt:variant>
        <vt:i4>0</vt:i4>
      </vt:variant>
      <vt:variant>
        <vt:i4>5</vt:i4>
      </vt:variant>
      <vt:variant>
        <vt:lpwstr/>
      </vt:variant>
      <vt:variant>
        <vt:lpwstr>_Toc97767054</vt:lpwstr>
      </vt:variant>
      <vt:variant>
        <vt:i4>1376316</vt:i4>
      </vt:variant>
      <vt:variant>
        <vt:i4>56</vt:i4>
      </vt:variant>
      <vt:variant>
        <vt:i4>0</vt:i4>
      </vt:variant>
      <vt:variant>
        <vt:i4>5</vt:i4>
      </vt:variant>
      <vt:variant>
        <vt:lpwstr/>
      </vt:variant>
      <vt:variant>
        <vt:lpwstr>_Toc97767053</vt:lpwstr>
      </vt:variant>
      <vt:variant>
        <vt:i4>1310780</vt:i4>
      </vt:variant>
      <vt:variant>
        <vt:i4>50</vt:i4>
      </vt:variant>
      <vt:variant>
        <vt:i4>0</vt:i4>
      </vt:variant>
      <vt:variant>
        <vt:i4>5</vt:i4>
      </vt:variant>
      <vt:variant>
        <vt:lpwstr/>
      </vt:variant>
      <vt:variant>
        <vt:lpwstr>_Toc97767052</vt:lpwstr>
      </vt:variant>
      <vt:variant>
        <vt:i4>1507388</vt:i4>
      </vt:variant>
      <vt:variant>
        <vt:i4>44</vt:i4>
      </vt:variant>
      <vt:variant>
        <vt:i4>0</vt:i4>
      </vt:variant>
      <vt:variant>
        <vt:i4>5</vt:i4>
      </vt:variant>
      <vt:variant>
        <vt:lpwstr/>
      </vt:variant>
      <vt:variant>
        <vt:lpwstr>_Toc97767051</vt:lpwstr>
      </vt:variant>
      <vt:variant>
        <vt:i4>1441852</vt:i4>
      </vt:variant>
      <vt:variant>
        <vt:i4>38</vt:i4>
      </vt:variant>
      <vt:variant>
        <vt:i4>0</vt:i4>
      </vt:variant>
      <vt:variant>
        <vt:i4>5</vt:i4>
      </vt:variant>
      <vt:variant>
        <vt:lpwstr/>
      </vt:variant>
      <vt:variant>
        <vt:lpwstr>_Toc97767050</vt:lpwstr>
      </vt:variant>
      <vt:variant>
        <vt:i4>2031677</vt:i4>
      </vt:variant>
      <vt:variant>
        <vt:i4>32</vt:i4>
      </vt:variant>
      <vt:variant>
        <vt:i4>0</vt:i4>
      </vt:variant>
      <vt:variant>
        <vt:i4>5</vt:i4>
      </vt:variant>
      <vt:variant>
        <vt:lpwstr/>
      </vt:variant>
      <vt:variant>
        <vt:lpwstr>_Toc97767049</vt:lpwstr>
      </vt:variant>
      <vt:variant>
        <vt:i4>1966141</vt:i4>
      </vt:variant>
      <vt:variant>
        <vt:i4>26</vt:i4>
      </vt:variant>
      <vt:variant>
        <vt:i4>0</vt:i4>
      </vt:variant>
      <vt:variant>
        <vt:i4>5</vt:i4>
      </vt:variant>
      <vt:variant>
        <vt:lpwstr/>
      </vt:variant>
      <vt:variant>
        <vt:lpwstr>_Toc97767048</vt:lpwstr>
      </vt:variant>
      <vt:variant>
        <vt:i4>1114173</vt:i4>
      </vt:variant>
      <vt:variant>
        <vt:i4>20</vt:i4>
      </vt:variant>
      <vt:variant>
        <vt:i4>0</vt:i4>
      </vt:variant>
      <vt:variant>
        <vt:i4>5</vt:i4>
      </vt:variant>
      <vt:variant>
        <vt:lpwstr/>
      </vt:variant>
      <vt:variant>
        <vt:lpwstr>_Toc97767047</vt:lpwstr>
      </vt:variant>
      <vt:variant>
        <vt:i4>1048637</vt:i4>
      </vt:variant>
      <vt:variant>
        <vt:i4>14</vt:i4>
      </vt:variant>
      <vt:variant>
        <vt:i4>0</vt:i4>
      </vt:variant>
      <vt:variant>
        <vt:i4>5</vt:i4>
      </vt:variant>
      <vt:variant>
        <vt:lpwstr/>
      </vt:variant>
      <vt:variant>
        <vt:lpwstr>_Toc97767046</vt:lpwstr>
      </vt:variant>
      <vt:variant>
        <vt:i4>1245245</vt:i4>
      </vt:variant>
      <vt:variant>
        <vt:i4>8</vt:i4>
      </vt:variant>
      <vt:variant>
        <vt:i4>0</vt:i4>
      </vt:variant>
      <vt:variant>
        <vt:i4>5</vt:i4>
      </vt:variant>
      <vt:variant>
        <vt:lpwstr/>
      </vt:variant>
      <vt:variant>
        <vt:lpwstr>_Toc97767045</vt:lpwstr>
      </vt:variant>
      <vt:variant>
        <vt:i4>1179709</vt:i4>
      </vt:variant>
      <vt:variant>
        <vt:i4>2</vt:i4>
      </vt:variant>
      <vt:variant>
        <vt:i4>0</vt:i4>
      </vt:variant>
      <vt:variant>
        <vt:i4>5</vt:i4>
      </vt:variant>
      <vt:variant>
        <vt:lpwstr/>
      </vt:variant>
      <vt:variant>
        <vt:lpwstr>_Toc97767044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Rehabilitation</dc:title>
  <dc:subject/>
  <dc:creator>jhartley</dc:creator>
  <cp:keywords/>
  <cp:lastModifiedBy>Suzanne Barnard</cp:lastModifiedBy>
  <cp:revision>11</cp:revision>
  <cp:lastPrinted>2019-08-27T16:33:00Z</cp:lastPrinted>
  <dcterms:created xsi:type="dcterms:W3CDTF">2023-07-07T06:54:00Z</dcterms:created>
  <dcterms:modified xsi:type="dcterms:W3CDTF">2024-07-14T01:24:00Z</dcterms:modified>
</cp:coreProperties>
</file>